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C962D3">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0900B6B3" w:rsidR="005A3382" w:rsidRPr="00D54E64" w:rsidRDefault="005A3382" w:rsidP="0097261A">
            <w:pPr>
              <w:jc w:val="cente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2A45D6FC"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141571">
              <w:rPr>
                <w:rFonts w:cs="Arial"/>
                <w:b/>
                <w:bCs/>
                <w:color w:val="008576"/>
                <w:sz w:val="80"/>
                <w:szCs w:val="80"/>
              </w:rPr>
              <w:t>474</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4F126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354313" w:rsidRPr="009B4657" w:rsidRDefault="00354313" w:rsidP="00F971A0">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354313" w14:paraId="3464EB04"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354313" w:rsidRPr="009B4657" w:rsidRDefault="00354313" w:rsidP="00F971A0">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6D2CD115" w:rsidR="00354313" w:rsidRPr="009B4657" w:rsidRDefault="00141571" w:rsidP="007246AD">
            <w:pPr>
              <w:rPr>
                <w:rFonts w:cs="Arial"/>
                <w:b/>
                <w:bCs/>
                <w:color w:val="008000"/>
                <w:sz w:val="40"/>
                <w:szCs w:val="40"/>
              </w:rPr>
            </w:pPr>
            <w:r>
              <w:rPr>
                <w:rFonts w:cs="Arial"/>
                <w:b/>
                <w:bCs/>
                <w:color w:val="008000"/>
                <w:sz w:val="40"/>
                <w:szCs w:val="40"/>
              </w:rPr>
              <w:t>‘Application of Smart Meter Communication Licence Costs in the CDCM’</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3DB90C04" w:rsidR="00AD1AC1" w:rsidRPr="009B4657" w:rsidRDefault="000B3AA3" w:rsidP="00AD1AC1">
            <w:pPr>
              <w:rPr>
                <w:rFonts w:cs="Arial"/>
                <w:b/>
                <w:bCs/>
                <w:color w:val="008000"/>
                <w:sz w:val="40"/>
                <w:szCs w:val="40"/>
              </w:rPr>
            </w:pPr>
            <w:r>
              <w:rPr>
                <w:rFonts w:cs="Arial"/>
                <w:b/>
                <w:bCs/>
                <w:color w:val="008000"/>
                <w:szCs w:val="40"/>
              </w:rPr>
              <w:t>6</w:t>
            </w:r>
            <w:r w:rsidRPr="000B3AA3">
              <w:rPr>
                <w:rFonts w:cs="Arial"/>
                <w:b/>
                <w:bCs/>
                <w:color w:val="008000"/>
                <w:szCs w:val="40"/>
                <w:vertAlign w:val="superscript"/>
              </w:rPr>
              <w:t>Th</w:t>
            </w:r>
            <w:r>
              <w:rPr>
                <w:rFonts w:cs="Arial"/>
                <w:b/>
                <w:bCs/>
                <w:color w:val="008000"/>
                <w:szCs w:val="40"/>
              </w:rPr>
              <w:t xml:space="preserve"> June 2026</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4825173B" w:rsidR="00AD1AC1" w:rsidRPr="009B4657" w:rsidRDefault="000B3AA3" w:rsidP="00AD1AC1">
            <w:pPr>
              <w:rPr>
                <w:rFonts w:cs="Arial"/>
                <w:b/>
                <w:bCs/>
                <w:color w:val="008000"/>
                <w:sz w:val="40"/>
                <w:szCs w:val="40"/>
              </w:rPr>
            </w:pPr>
            <w:r>
              <w:rPr>
                <w:rFonts w:cs="Arial"/>
                <w:b/>
                <w:bCs/>
                <w:color w:val="008000"/>
                <w:szCs w:val="40"/>
              </w:rPr>
              <w:t>Ed Grimsey</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1C4D0BD6" w:rsidR="00AD1AC1" w:rsidRPr="009B4657" w:rsidRDefault="000B3AA3" w:rsidP="00AD1AC1">
            <w:pPr>
              <w:rPr>
                <w:rFonts w:cs="Arial"/>
                <w:b/>
                <w:bCs/>
                <w:color w:val="008000"/>
                <w:sz w:val="40"/>
                <w:szCs w:val="40"/>
              </w:rPr>
            </w:pPr>
            <w:r>
              <w:rPr>
                <w:rFonts w:cs="Arial"/>
                <w:b/>
                <w:bCs/>
                <w:color w:val="008000"/>
                <w:szCs w:val="40"/>
              </w:rPr>
              <w:t>The Electricity Network Company Ltd</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5D3CBEF5" w:rsidR="00AD1AC1" w:rsidRPr="009B4657" w:rsidRDefault="000B3AA3" w:rsidP="00AD1AC1">
            <w:pPr>
              <w:rPr>
                <w:rFonts w:cs="Arial"/>
                <w:b/>
                <w:bCs/>
                <w:color w:val="008000"/>
                <w:sz w:val="40"/>
                <w:szCs w:val="40"/>
              </w:rPr>
            </w:pPr>
            <w:r>
              <w:rPr>
                <w:rFonts w:cs="Arial"/>
                <w:b/>
                <w:bCs/>
                <w:color w:val="008000"/>
                <w:szCs w:val="40"/>
              </w:rPr>
              <w:t>IDNO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3947DFF0" w:rsidR="003B74C6" w:rsidRPr="00460446" w:rsidRDefault="009B4657" w:rsidP="007246AD">
            <w:pPr>
              <w:rPr>
                <w:rFonts w:cs="Arial"/>
              </w:rPr>
            </w:pPr>
            <w:r w:rsidRPr="00460446">
              <w:rPr>
                <w:rFonts w:cs="Arial"/>
              </w:rPr>
              <w:t>The purpose of this Change Proposal</w:t>
            </w:r>
            <w:r w:rsidR="00835043">
              <w:rPr>
                <w:rFonts w:cs="Arial"/>
              </w:rPr>
              <w:t xml:space="preserve"> (“CP”)</w:t>
            </w:r>
            <w:r w:rsidRPr="00460446">
              <w:rPr>
                <w:rFonts w:cs="Arial"/>
              </w:rPr>
              <w:t xml:space="preserve"> is to </w:t>
            </w:r>
            <w:r w:rsidR="001C583F">
              <w:rPr>
                <w:rFonts w:cs="Arial"/>
              </w:rPr>
              <w:t>amend Schedule 16 of the DCUSA so that Smart Meter Communication Licence Costs are to be recovered from customer categories which drive these costs, by means of a fixed charge adder applied on an equivalent per-MPAN basis.</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57330494" w14:textId="39B17DA5" w:rsidR="005D0A33" w:rsidRPr="00460446" w:rsidRDefault="005D0A33" w:rsidP="005D0A33">
            <w:pPr>
              <w:rPr>
                <w:rFonts w:cs="Arial"/>
              </w:rPr>
            </w:pPr>
            <w:r w:rsidRPr="00460446">
              <w:rPr>
                <w:rFonts w:cs="Arial"/>
              </w:rPr>
              <w:t xml:space="preserve">This document is a Consultation issued to DCUSA Parties and any other interested parties in accordance with Clause 11.14 of the DCUSA, seeking industry views on this </w:t>
            </w:r>
            <w:r w:rsidR="00835043">
              <w:rPr>
                <w:rFonts w:cs="Arial"/>
              </w:rPr>
              <w:t>CP</w:t>
            </w:r>
            <w:r w:rsidRPr="00460446">
              <w:rPr>
                <w:rFonts w:cs="Arial"/>
              </w:rPr>
              <w:t>.</w:t>
            </w:r>
          </w:p>
          <w:p w14:paraId="55A9EB81" w14:textId="77777777" w:rsidR="005D0A33" w:rsidRPr="00460446" w:rsidRDefault="005D0A33" w:rsidP="005D0A33">
            <w:pPr>
              <w:rPr>
                <w:rFonts w:cs="Arial"/>
              </w:rPr>
            </w:pPr>
          </w:p>
          <w:p w14:paraId="7E2E04A8" w14:textId="75B52ED2" w:rsidR="008D5795" w:rsidRPr="00460446" w:rsidRDefault="008D5795" w:rsidP="005D0A33">
            <w:pPr>
              <w:rPr>
                <w:rFonts w:cs="Arial"/>
              </w:rPr>
            </w:pPr>
            <w:r w:rsidRPr="00460446">
              <w:rPr>
                <w:rFonts w:cs="Arial"/>
              </w:rPr>
              <w:t xml:space="preserve">You </w:t>
            </w:r>
            <w:r w:rsidR="005D0A33" w:rsidRPr="00460446">
              <w:rPr>
                <w:rFonts w:cs="Arial"/>
              </w:rPr>
              <w:t xml:space="preserve">are invited to consider the questions set in section 10 </w:t>
            </w:r>
            <w:r w:rsidRPr="00460446">
              <w:rPr>
                <w:rFonts w:cs="Arial"/>
              </w:rPr>
              <w:t xml:space="preserve">of this Consultation </w:t>
            </w:r>
            <w:r w:rsidR="005D0A33" w:rsidRPr="00460446">
              <w:rPr>
                <w:rFonts w:cs="Arial"/>
              </w:rPr>
              <w:t xml:space="preserve">and submit comments using </w:t>
            </w:r>
            <w:r w:rsidR="006972B3">
              <w:rPr>
                <w:rFonts w:cs="Arial"/>
              </w:rPr>
              <w:t xml:space="preserve">the </w:t>
            </w:r>
            <w:r w:rsidR="005D0A33" w:rsidRPr="00460446">
              <w:rPr>
                <w:rFonts w:cs="Arial"/>
              </w:rPr>
              <w:t>form</w:t>
            </w:r>
            <w:r w:rsidRPr="00460446">
              <w:rPr>
                <w:rFonts w:cs="Arial"/>
              </w:rPr>
              <w:t xml:space="preserve"> provided </w:t>
            </w:r>
            <w:r w:rsidR="005D0A33" w:rsidRPr="00460446">
              <w:rPr>
                <w:rFonts w:cs="Arial"/>
              </w:rPr>
              <w:t xml:space="preserve">to </w:t>
            </w:r>
            <w:hyperlink r:id="rId9" w:history="1">
              <w:r w:rsidRPr="00460446">
                <w:rPr>
                  <w:rStyle w:val="Hyperlink"/>
                  <w:rFonts w:cs="Arial"/>
                </w:rPr>
                <w:t>dcusa@electralink.co.uk</w:t>
              </w:r>
            </w:hyperlink>
            <w:r w:rsidRPr="00460446">
              <w:rPr>
                <w:rFonts w:cs="Arial"/>
              </w:rPr>
              <w:t>.</w:t>
            </w:r>
            <w:r w:rsidR="005D0A33" w:rsidRPr="00460446">
              <w:rPr>
                <w:rFonts w:cs="Arial"/>
              </w:rPr>
              <w:t xml:space="preserve"> </w:t>
            </w:r>
          </w:p>
          <w:p w14:paraId="28C2F79D" w14:textId="77777777" w:rsidR="008D5795" w:rsidRPr="00460446" w:rsidRDefault="008D5795" w:rsidP="005D0A33">
            <w:pPr>
              <w:rPr>
                <w:rFonts w:cs="Arial"/>
              </w:rPr>
            </w:pPr>
          </w:p>
          <w:p w14:paraId="521D9B6E" w14:textId="3E2033F4" w:rsidR="00631786" w:rsidRPr="00460446" w:rsidRDefault="008D5795" w:rsidP="005D0A33">
            <w:pPr>
              <w:rPr>
                <w:rFonts w:cs="Arial"/>
              </w:rPr>
            </w:pPr>
            <w:r w:rsidRPr="00460446">
              <w:rPr>
                <w:rFonts w:cs="Arial"/>
              </w:rPr>
              <w:t xml:space="preserve">The deadline for responses is </w:t>
            </w:r>
            <w:r w:rsidRPr="007B2ED1">
              <w:rPr>
                <w:rFonts w:cs="Arial"/>
                <w:highlight w:val="yellow"/>
              </w:rPr>
              <w:t>[DD MON YYYY]</w:t>
            </w:r>
            <w:r w:rsidRPr="00460446">
              <w:rPr>
                <w:rFonts w:cs="Arial"/>
              </w:rPr>
              <w:t>.</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2D3C8FE9" w:rsidR="00254E1A" w:rsidRPr="00A208F7" w:rsidRDefault="00A208F7" w:rsidP="007246AD">
            <w:pPr>
              <w:rPr>
                <w:rFonts w:cs="Arial"/>
              </w:rPr>
            </w:pPr>
            <w:r w:rsidRPr="00A208F7">
              <w:rPr>
                <w:rFonts w:cs="Arial"/>
              </w:rPr>
              <w:t>Suppliers/DNOs/IDNOs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3F806E63" w:rsidR="00A208F7" w:rsidRPr="004143E3" w:rsidRDefault="004143E3" w:rsidP="007246AD">
            <w:pPr>
              <w:rPr>
                <w:rFonts w:cs="Arial"/>
              </w:rPr>
            </w:pPr>
            <w:r>
              <w:rPr>
                <w:rFonts w:cs="Arial"/>
              </w:rPr>
              <w:t xml:space="preserve">Schedule </w:t>
            </w:r>
            <w:r w:rsidR="00995650">
              <w:rPr>
                <w:rFonts w:cs="Arial"/>
              </w:rPr>
              <w:t>16, Paragraph 100</w:t>
            </w:r>
            <w:r w:rsidR="0097261A">
              <w:rPr>
                <w:rFonts w:cs="Arial"/>
              </w:rPr>
              <w:t>,</w:t>
            </w:r>
            <w:r w:rsidR="00995650">
              <w:rPr>
                <w:rFonts w:cs="Arial"/>
              </w:rPr>
              <w:t xml:space="preserve"> and 104</w:t>
            </w:r>
            <w:r w:rsidR="0097261A">
              <w:rPr>
                <w:rFonts w:cs="Arial"/>
              </w:rPr>
              <w:t xml:space="preserve"> to 108, </w:t>
            </w:r>
            <w:commentRangeStart w:id="0"/>
            <w:r w:rsidR="0097261A">
              <w:rPr>
                <w:rFonts w:cs="Arial"/>
              </w:rPr>
              <w:t>Schedule 20</w:t>
            </w:r>
            <w:commentRangeEnd w:id="0"/>
            <w:r w:rsidR="0097261A" w:rsidRPr="004143E3">
              <w:rPr>
                <w:rStyle w:val="CommentReference"/>
                <w:rFonts w:cs="Arial"/>
                <w:sz w:val="20"/>
                <w:szCs w:val="22"/>
              </w:rPr>
              <w:commentReference w:id="0"/>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4F126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78B179E2" w14:textId="78AB18A4" w:rsidR="00705BEE" w:rsidRDefault="00CA338E">
            <w:pPr>
              <w:pStyle w:val="TOC1"/>
              <w:rPr>
                <w:rFonts w:asciiTheme="minorHAnsi" w:eastAsiaTheme="minorEastAsia" w:hAnsiTheme="minorHAnsi"/>
                <w:b w:val="0"/>
                <w:noProof/>
                <w:color w:val="auto"/>
                <w:szCs w:val="24"/>
                <w:lang w:eastAsia="en-GB"/>
              </w:rPr>
            </w:pPr>
            <w:r>
              <w:fldChar w:fldCharType="begin"/>
            </w:r>
            <w:r>
              <w:instrText xml:space="preserve"> TOC \o "1-1" \u </w:instrText>
            </w:r>
            <w:r>
              <w:fldChar w:fldCharType="separate"/>
            </w:r>
            <w:r w:rsidR="00705BEE">
              <w:rPr>
                <w:noProof/>
              </w:rPr>
              <w:t>1</w:t>
            </w:r>
            <w:r w:rsidR="00705BEE">
              <w:rPr>
                <w:rFonts w:asciiTheme="minorHAnsi" w:eastAsiaTheme="minorEastAsia" w:hAnsiTheme="minorHAnsi"/>
                <w:b w:val="0"/>
                <w:noProof/>
                <w:color w:val="auto"/>
                <w:szCs w:val="24"/>
                <w:lang w:eastAsia="en-GB"/>
              </w:rPr>
              <w:tab/>
            </w:r>
            <w:r w:rsidR="00705BEE">
              <w:rPr>
                <w:noProof/>
              </w:rPr>
              <w:t>Summary</w:t>
            </w:r>
            <w:r w:rsidR="00705BEE">
              <w:rPr>
                <w:noProof/>
              </w:rPr>
              <w:tab/>
            </w:r>
            <w:r w:rsidR="00705BEE">
              <w:rPr>
                <w:noProof/>
              </w:rPr>
              <w:fldChar w:fldCharType="begin"/>
            </w:r>
            <w:r w:rsidR="00705BEE">
              <w:rPr>
                <w:noProof/>
              </w:rPr>
              <w:instrText xml:space="preserve"> PAGEREF _Toc225238727 \h </w:instrText>
            </w:r>
            <w:r w:rsidR="00705BEE">
              <w:rPr>
                <w:noProof/>
              </w:rPr>
            </w:r>
            <w:r w:rsidR="00705BEE">
              <w:rPr>
                <w:noProof/>
              </w:rPr>
              <w:fldChar w:fldCharType="separate"/>
            </w:r>
            <w:r w:rsidR="00705BEE">
              <w:rPr>
                <w:noProof/>
              </w:rPr>
              <w:t>3</w:t>
            </w:r>
            <w:r w:rsidR="00705BEE">
              <w:rPr>
                <w:noProof/>
              </w:rPr>
              <w:fldChar w:fldCharType="end"/>
            </w:r>
          </w:p>
          <w:p w14:paraId="4B9DB8DB" w14:textId="039F9EBF" w:rsidR="00705BEE" w:rsidRDefault="00705BEE">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_Toc225238728 \h </w:instrText>
            </w:r>
            <w:r>
              <w:rPr>
                <w:noProof/>
              </w:rPr>
            </w:r>
            <w:r>
              <w:rPr>
                <w:noProof/>
              </w:rPr>
              <w:fldChar w:fldCharType="separate"/>
            </w:r>
            <w:r>
              <w:rPr>
                <w:noProof/>
              </w:rPr>
              <w:t>3</w:t>
            </w:r>
            <w:r>
              <w:rPr>
                <w:noProof/>
              </w:rPr>
              <w:fldChar w:fldCharType="end"/>
            </w:r>
          </w:p>
          <w:p w14:paraId="7CC976CE" w14:textId="2FD6CB1E" w:rsidR="00705BEE" w:rsidRDefault="00705BEE">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_Toc225238729 \h </w:instrText>
            </w:r>
            <w:r>
              <w:rPr>
                <w:noProof/>
              </w:rPr>
            </w:r>
            <w:r>
              <w:rPr>
                <w:noProof/>
              </w:rPr>
              <w:fldChar w:fldCharType="separate"/>
            </w:r>
            <w:r>
              <w:rPr>
                <w:noProof/>
              </w:rPr>
              <w:t>3</w:t>
            </w:r>
            <w:r>
              <w:rPr>
                <w:noProof/>
              </w:rPr>
              <w:fldChar w:fldCharType="end"/>
            </w:r>
          </w:p>
          <w:p w14:paraId="57DFC774" w14:textId="1C3B5D23" w:rsidR="00705BEE" w:rsidRDefault="00705BEE">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Assessment</w:t>
            </w:r>
            <w:r>
              <w:rPr>
                <w:noProof/>
              </w:rPr>
              <w:tab/>
            </w:r>
            <w:r>
              <w:rPr>
                <w:noProof/>
              </w:rPr>
              <w:fldChar w:fldCharType="begin"/>
            </w:r>
            <w:r>
              <w:rPr>
                <w:noProof/>
              </w:rPr>
              <w:instrText xml:space="preserve"> PAGEREF _Toc225238730 \h </w:instrText>
            </w:r>
            <w:r>
              <w:rPr>
                <w:noProof/>
              </w:rPr>
            </w:r>
            <w:r>
              <w:rPr>
                <w:noProof/>
              </w:rPr>
              <w:fldChar w:fldCharType="separate"/>
            </w:r>
            <w:r>
              <w:rPr>
                <w:noProof/>
              </w:rPr>
              <w:t>3</w:t>
            </w:r>
            <w:r>
              <w:rPr>
                <w:noProof/>
              </w:rPr>
              <w:fldChar w:fldCharType="end"/>
            </w:r>
          </w:p>
          <w:p w14:paraId="3EF3887B" w14:textId="7CB8ADBC" w:rsidR="00705BEE" w:rsidRDefault="00705BEE">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_Toc225238731 \h </w:instrText>
            </w:r>
            <w:r>
              <w:rPr>
                <w:noProof/>
              </w:rPr>
            </w:r>
            <w:r>
              <w:rPr>
                <w:noProof/>
              </w:rPr>
              <w:fldChar w:fldCharType="separate"/>
            </w:r>
            <w:r>
              <w:rPr>
                <w:noProof/>
              </w:rPr>
              <w:t>3</w:t>
            </w:r>
            <w:r>
              <w:rPr>
                <w:noProof/>
              </w:rPr>
              <w:fldChar w:fldCharType="end"/>
            </w:r>
          </w:p>
          <w:p w14:paraId="1FC79A45" w14:textId="6DC02C62" w:rsidR="00705BEE" w:rsidRDefault="00705BEE">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_Toc225238732 \h </w:instrText>
            </w:r>
            <w:r>
              <w:rPr>
                <w:noProof/>
              </w:rPr>
            </w:r>
            <w:r>
              <w:rPr>
                <w:noProof/>
              </w:rPr>
              <w:fldChar w:fldCharType="separate"/>
            </w:r>
            <w:r>
              <w:rPr>
                <w:noProof/>
              </w:rPr>
              <w:t>5</w:t>
            </w:r>
            <w:r>
              <w:rPr>
                <w:noProof/>
              </w:rPr>
              <w:fldChar w:fldCharType="end"/>
            </w:r>
          </w:p>
          <w:p w14:paraId="47761CC3" w14:textId="70A6EEC0" w:rsidR="00705BEE" w:rsidRDefault="00705BEE">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_Toc225238733 \h </w:instrText>
            </w:r>
            <w:r>
              <w:rPr>
                <w:noProof/>
              </w:rPr>
            </w:r>
            <w:r>
              <w:rPr>
                <w:noProof/>
              </w:rPr>
              <w:fldChar w:fldCharType="separate"/>
            </w:r>
            <w:r>
              <w:rPr>
                <w:noProof/>
              </w:rPr>
              <w:t>5</w:t>
            </w:r>
            <w:r>
              <w:rPr>
                <w:noProof/>
              </w:rPr>
              <w:fldChar w:fldCharType="end"/>
            </w:r>
          </w:p>
          <w:p w14:paraId="193A3A8F" w14:textId="6D15975C" w:rsidR="00705BEE" w:rsidRDefault="00705BEE">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_Toc225238734 \h </w:instrText>
            </w:r>
            <w:r>
              <w:rPr>
                <w:noProof/>
              </w:rPr>
            </w:r>
            <w:r>
              <w:rPr>
                <w:noProof/>
              </w:rPr>
              <w:fldChar w:fldCharType="separate"/>
            </w:r>
            <w:r>
              <w:rPr>
                <w:noProof/>
              </w:rPr>
              <w:t>5</w:t>
            </w:r>
            <w:r>
              <w:rPr>
                <w:noProof/>
              </w:rPr>
              <w:fldChar w:fldCharType="end"/>
            </w:r>
          </w:p>
          <w:p w14:paraId="69E551FE" w14:textId="2D0A811D" w:rsidR="00705BEE" w:rsidRDefault="00705BEE">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Consultation Questions</w:t>
            </w:r>
            <w:r>
              <w:rPr>
                <w:noProof/>
              </w:rPr>
              <w:tab/>
            </w:r>
            <w:r>
              <w:rPr>
                <w:noProof/>
              </w:rPr>
              <w:fldChar w:fldCharType="begin"/>
            </w:r>
            <w:r>
              <w:rPr>
                <w:noProof/>
              </w:rPr>
              <w:instrText xml:space="preserve"> PAGEREF _Toc225238735 \h </w:instrText>
            </w:r>
            <w:r>
              <w:rPr>
                <w:noProof/>
              </w:rPr>
            </w:r>
            <w:r>
              <w:rPr>
                <w:noProof/>
              </w:rPr>
              <w:fldChar w:fldCharType="separate"/>
            </w:r>
            <w:r>
              <w:rPr>
                <w:noProof/>
              </w:rPr>
              <w:t>5</w:t>
            </w:r>
            <w:r>
              <w:rPr>
                <w:noProof/>
              </w:rPr>
              <w:fldChar w:fldCharType="end"/>
            </w:r>
          </w:p>
          <w:p w14:paraId="1D877982" w14:textId="575A548D" w:rsidR="00705BEE" w:rsidRDefault="00705BEE">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_Toc225238736 \h </w:instrText>
            </w:r>
            <w:r>
              <w:rPr>
                <w:noProof/>
              </w:rPr>
            </w:r>
            <w:r>
              <w:rPr>
                <w:noProof/>
              </w:rPr>
              <w:fldChar w:fldCharType="separate"/>
            </w:r>
            <w:r>
              <w:rPr>
                <w:noProof/>
              </w:rPr>
              <w:t>6</w:t>
            </w:r>
            <w:r>
              <w:rPr>
                <w:noProof/>
              </w:rPr>
              <w:fldChar w:fldCharType="end"/>
            </w:r>
          </w:p>
          <w:p w14:paraId="6F0F0A59" w14:textId="714D29D8" w:rsidR="00E019B3" w:rsidRPr="0085103F" w:rsidRDefault="00CA338E" w:rsidP="00F16A12">
            <w:pPr>
              <w:pStyle w:val="TOC1"/>
              <w:tabs>
                <w:tab w:val="clear" w:pos="480"/>
                <w:tab w:val="clear" w:pos="9628"/>
              </w:tabs>
              <w:rPr>
                <w:sz w:val="2"/>
                <w:szCs w:val="2"/>
              </w:rPr>
            </w:pPr>
            <w: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117479EB">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7"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2181F3D8">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4F126F">
        <w:trPr>
          <w:trHeight w:val="407"/>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4F126F">
        <w:trPr>
          <w:trHeight w:val="407"/>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0C4EDAB1" w:rsidR="00E019B3" w:rsidRPr="00C60A83" w:rsidRDefault="00710EE2">
            <w:pPr>
              <w:rPr>
                <w:color w:val="008576"/>
              </w:rPr>
            </w:pPr>
            <w:r>
              <w:rPr>
                <w:color w:val="008576"/>
              </w:rPr>
              <w:t>Ed Grimsey</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68D60F30" w:rsidR="00E019B3" w:rsidRPr="00C60A83" w:rsidRDefault="00AD7268">
            <w:pPr>
              <w:rPr>
                <w:color w:val="008576"/>
              </w:rPr>
            </w:pPr>
            <w:r w:rsidRPr="00AD7268">
              <w:rPr>
                <w:color w:val="008576"/>
              </w:rPr>
              <w:t>Ed.Grimsey@bu-uk.co.uk</w:t>
            </w:r>
          </w:p>
        </w:tc>
      </w:tr>
      <w:tr w:rsidR="00422A1E" w14:paraId="1A6C3926" w14:textId="77777777" w:rsidTr="004F126F">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706"/>
              <w:gridCol w:w="2944"/>
            </w:tblGrid>
            <w:tr w:rsidR="00422A1E" w14:paraId="1AF2ACF7"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510235AC" w:rsidR="00422A1E" w:rsidRPr="00E1744F" w:rsidRDefault="00995650" w:rsidP="0089159A">
                  <w:pPr>
                    <w:rPr>
                      <w:rFonts w:cs="Arial"/>
                    </w:rPr>
                  </w:pPr>
                  <w:r>
                    <w:rPr>
                      <w:rFonts w:cs="Arial"/>
                    </w:rPr>
                    <w:t>20 May 2026</w:t>
                  </w:r>
                </w:p>
              </w:tc>
            </w:tr>
            <w:tr w:rsidR="00422A1E" w14:paraId="62C5C716"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6093AEA4" w:rsidR="00422A1E" w:rsidRPr="00E1744F" w:rsidRDefault="00EA2E90" w:rsidP="0089159A">
                  <w:pPr>
                    <w:rPr>
                      <w:rFonts w:cs="Arial"/>
                    </w:rPr>
                  </w:pPr>
                  <w:r w:rsidRPr="00EA2E90">
                    <w:rPr>
                      <w:rFonts w:cs="Arial"/>
                    </w:rPr>
                    <w:t>DD MON YYYY</w:t>
                  </w:r>
                </w:p>
              </w:tc>
            </w:tr>
            <w:tr w:rsidR="00422A1E" w14:paraId="6D6F978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4D2791EA" w:rsidR="00422A1E" w:rsidRPr="00E1744F" w:rsidRDefault="00EA2E90" w:rsidP="0089159A">
                  <w:pPr>
                    <w:rPr>
                      <w:rFonts w:cs="Arial"/>
                    </w:rPr>
                  </w:pPr>
                  <w:r w:rsidRPr="00EA2E90">
                    <w:rPr>
                      <w:rFonts w:cs="Arial"/>
                    </w:rPr>
                    <w:t>DD MON YYYY</w:t>
                  </w:r>
                </w:p>
              </w:tc>
            </w:tr>
            <w:tr w:rsidR="00422A1E" w14:paraId="2AF88FCC"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0F2FB669" w:rsidR="00422A1E" w:rsidRPr="00E1744F" w:rsidRDefault="00EA2E90" w:rsidP="0089159A">
                  <w:pPr>
                    <w:rPr>
                      <w:rFonts w:cs="Arial"/>
                    </w:rPr>
                  </w:pPr>
                  <w:r w:rsidRPr="00EA2E90">
                    <w:rPr>
                      <w:rFonts w:cs="Arial"/>
                    </w:rPr>
                    <w:t>DD MON YYYY</w:t>
                  </w:r>
                </w:p>
              </w:tc>
            </w:tr>
            <w:tr w:rsidR="00422A1E" w14:paraId="4DA5CEB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58E2376B" w:rsidR="00422A1E" w:rsidRPr="00E1744F" w:rsidRDefault="00EA2E90" w:rsidP="0089159A">
                  <w:pPr>
                    <w:rPr>
                      <w:rFonts w:cs="Arial"/>
                    </w:rPr>
                  </w:pPr>
                  <w:r w:rsidRPr="00EA2E90">
                    <w:rPr>
                      <w:rFonts w:cs="Arial"/>
                    </w:rPr>
                    <w:t>DD MON YYYY</w:t>
                  </w:r>
                </w:p>
              </w:tc>
            </w:tr>
            <w:tr w:rsidR="00422A1E" w14:paraId="7BC3A6F2"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10C40C06" w:rsidR="00422A1E" w:rsidRPr="00E1744F" w:rsidRDefault="00EA2E90" w:rsidP="0089159A">
                  <w:pPr>
                    <w:rPr>
                      <w:rFonts w:cs="Arial"/>
                    </w:rPr>
                  </w:pPr>
                  <w:commentRangeStart w:id="1"/>
                  <w:r w:rsidRPr="00EA2E90">
                    <w:rPr>
                      <w:rFonts w:cs="Arial"/>
                    </w:rPr>
                    <w:t>DD MON YYYY</w:t>
                  </w:r>
                  <w:commentRangeEnd w:id="1"/>
                  <w:r w:rsidR="0070171B" w:rsidRPr="00E1744F">
                    <w:rPr>
                      <w:rStyle w:val="CommentReference"/>
                      <w:rFonts w:cs="Arial"/>
                      <w:sz w:val="20"/>
                      <w:szCs w:val="22"/>
                    </w:rPr>
                    <w:commentReference w:id="1"/>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2" w:name="_Toc225238727"/>
      <w:r>
        <w:lastRenderedPageBreak/>
        <w:t>Summary</w:t>
      </w:r>
      <w:bookmarkEnd w:id="2"/>
    </w:p>
    <w:p w14:paraId="2949A24F" w14:textId="5E3CEAD3" w:rsidR="00193FFB" w:rsidRPr="00050BBF" w:rsidRDefault="00630A97" w:rsidP="00193FFB">
      <w:pPr>
        <w:rPr>
          <w:b/>
          <w:bCs/>
          <w:color w:val="008576"/>
        </w:rPr>
      </w:pPr>
      <w:r w:rsidRPr="00050BBF">
        <w:rPr>
          <w:b/>
          <w:bCs/>
          <w:color w:val="008576"/>
        </w:rPr>
        <w:t>What?</w:t>
      </w:r>
    </w:p>
    <w:p w14:paraId="6BF9ABAA" w14:textId="37AD343D" w:rsidR="00A36DB8" w:rsidRDefault="003A582A" w:rsidP="0097261A">
      <w:pPr>
        <w:pStyle w:val="ListParagraph"/>
        <w:numPr>
          <w:ilvl w:val="1"/>
          <w:numId w:val="2"/>
        </w:numPr>
        <w:jc w:val="both"/>
      </w:pPr>
      <w:r>
        <w:t xml:space="preserve">The Change Proposal </w:t>
      </w:r>
      <w:r w:rsidR="000030E2">
        <w:t xml:space="preserve">(CP) </w:t>
      </w:r>
      <w:r>
        <w:t xml:space="preserve">introduces a new mechanism within Schedule 16 to recover </w:t>
      </w:r>
      <w:r w:rsidR="0097261A">
        <w:t xml:space="preserve">the </w:t>
      </w:r>
      <w:r>
        <w:t>Smart Meter Communication Licence Costs from Aggregated Metered Demand customers only, via a fixed charge adder applied on a p/MPAN/day basis</w:t>
      </w:r>
      <w:r w:rsidR="0097261A">
        <w:t xml:space="preserve"> because</w:t>
      </w:r>
      <w:r>
        <w:t xml:space="preserve"> these customer classes drive these costs to distributors.</w:t>
      </w:r>
    </w:p>
    <w:p w14:paraId="6A46CC1E" w14:textId="6A0B6006" w:rsidR="00050BBF" w:rsidRPr="00050BBF" w:rsidRDefault="00050BBF" w:rsidP="0097261A">
      <w:pPr>
        <w:jc w:val="both"/>
        <w:rPr>
          <w:b/>
          <w:bCs/>
          <w:color w:val="008576"/>
        </w:rPr>
      </w:pPr>
      <w:r w:rsidRPr="00050BBF">
        <w:rPr>
          <w:b/>
          <w:bCs/>
          <w:color w:val="008576"/>
        </w:rPr>
        <w:t>Why?</w:t>
      </w:r>
    </w:p>
    <w:p w14:paraId="263817D4" w14:textId="70EF582A" w:rsidR="0097261A" w:rsidRDefault="003A582A" w:rsidP="0097261A">
      <w:pPr>
        <w:pStyle w:val="ListParagraph"/>
        <w:numPr>
          <w:ilvl w:val="1"/>
          <w:numId w:val="2"/>
        </w:numPr>
        <w:jc w:val="both"/>
      </w:pPr>
      <w:r>
        <w:t xml:space="preserve">Currently, </w:t>
      </w:r>
      <w:r w:rsidR="0097261A">
        <w:t xml:space="preserve">the </w:t>
      </w:r>
      <w:r>
        <w:t>Smart Meter Communication Licence costs are not modelled in the C</w:t>
      </w:r>
      <w:r w:rsidR="00BF1186">
        <w:t xml:space="preserve">ommon </w:t>
      </w:r>
      <w:r>
        <w:t>D</w:t>
      </w:r>
      <w:r w:rsidR="00BF1186">
        <w:t xml:space="preserve">istribution </w:t>
      </w:r>
      <w:r>
        <w:t>C</w:t>
      </w:r>
      <w:r w:rsidR="00BF1186">
        <w:t xml:space="preserve">harging </w:t>
      </w:r>
      <w:r>
        <w:t>M</w:t>
      </w:r>
      <w:r w:rsidR="00BF1186">
        <w:t>ethodology (CDCM)</w:t>
      </w:r>
      <w:r>
        <w:t xml:space="preserve"> but are included in the allowed revenue calculation section of the CDCM which means they are recovered through the residual component of the tariff. This means they are spread across all customer types, including Site-Specific customers, despite Aggregated customers being the driver of Smart Meter Communication </w:t>
      </w:r>
      <w:r w:rsidR="000030E2">
        <w:t>Licence C</w:t>
      </w:r>
      <w:r>
        <w:t>osts</w:t>
      </w:r>
      <w:r w:rsidR="00B21250">
        <w:t xml:space="preserve"> as stated in the </w:t>
      </w:r>
      <w:hyperlink r:id="rId19" w:history="1">
        <w:r w:rsidR="00B21250" w:rsidRPr="00B21250">
          <w:rPr>
            <w:rStyle w:val="Hyperlink"/>
          </w:rPr>
          <w:t>DCC Charging Statement</w:t>
        </w:r>
      </w:hyperlink>
      <w:r>
        <w:t xml:space="preserve">. </w:t>
      </w:r>
    </w:p>
    <w:p w14:paraId="3F6C131B" w14:textId="36FD15BF" w:rsidR="00A36DB8" w:rsidRDefault="003A582A" w:rsidP="0097261A">
      <w:pPr>
        <w:pStyle w:val="ListParagraph"/>
        <w:numPr>
          <w:ilvl w:val="1"/>
          <w:numId w:val="2"/>
        </w:numPr>
        <w:jc w:val="both"/>
      </w:pPr>
      <w:r>
        <w:t>This therefore results in tariffs not fully reflecting the Smart Meter Communication</w:t>
      </w:r>
      <w:r w:rsidR="000030E2">
        <w:t xml:space="preserve"> Licence C</w:t>
      </w:r>
      <w:r>
        <w:t xml:space="preserve">osts incurred, as they are applied to customer groups which are not a cost driver. Changes to the allocation of Smart Meter Communication </w:t>
      </w:r>
      <w:r w:rsidR="000030E2">
        <w:t>Licence C</w:t>
      </w:r>
      <w:r>
        <w:t>osts should be made to allocate these costs in a more cost reflective manner. Resulting in only the customers which are the costs drivers, incurring the costs themselves through the fixed charge.</w:t>
      </w:r>
    </w:p>
    <w:p w14:paraId="46CA1E68" w14:textId="2E1D0B64" w:rsidR="00050BBF" w:rsidRPr="00050BBF" w:rsidRDefault="00050BBF" w:rsidP="0097261A">
      <w:pPr>
        <w:jc w:val="both"/>
        <w:rPr>
          <w:b/>
          <w:bCs/>
          <w:color w:val="008576"/>
        </w:rPr>
      </w:pPr>
      <w:r w:rsidRPr="00050BBF">
        <w:rPr>
          <w:b/>
          <w:bCs/>
          <w:color w:val="008576"/>
        </w:rPr>
        <w:t>How?</w:t>
      </w:r>
    </w:p>
    <w:p w14:paraId="4C4F3E84" w14:textId="3D717EE3" w:rsidR="00A36DB8" w:rsidRDefault="003A582A" w:rsidP="0097261A">
      <w:pPr>
        <w:pStyle w:val="ListParagraph"/>
        <w:numPr>
          <w:ilvl w:val="1"/>
          <w:numId w:val="2"/>
        </w:numPr>
        <w:jc w:val="both"/>
      </w:pPr>
      <w:r>
        <w:t xml:space="preserve">Smart Meter Communication </w:t>
      </w:r>
      <w:r w:rsidR="000030E2">
        <w:t>Licence C</w:t>
      </w:r>
      <w:r w:rsidR="00E3353B">
        <w:t xml:space="preserve">osts are to be removed from the allowed revenue calculation within the </w:t>
      </w:r>
      <w:r w:rsidR="000030E2">
        <w:t>CDCM and</w:t>
      </w:r>
      <w:r w:rsidR="00E3353B">
        <w:t xml:space="preserve"> instead are to be treated as a fixed charge adder to Aggregated demand customers. Applying the total Smart Meter Communication Licence </w:t>
      </w:r>
      <w:r w:rsidR="000030E2">
        <w:t>Co</w:t>
      </w:r>
      <w:r w:rsidR="00E3353B">
        <w:t xml:space="preserve">sts and dividing </w:t>
      </w:r>
      <w:r w:rsidR="007772D1">
        <w:t xml:space="preserve">by the total number of aggregated MPANs, so that each customer pays an equal proportion of Smart Meter Communication </w:t>
      </w:r>
      <w:r w:rsidR="000030E2">
        <w:t>Licence C</w:t>
      </w:r>
      <w:r w:rsidR="007772D1">
        <w:t>osts. This is calculated in a manner consistent with existing pass-through adders such as Supplier of Last Resort and Bad Debt</w:t>
      </w:r>
      <w:r w:rsidR="00B21250">
        <w:t xml:space="preserve"> introduced by </w:t>
      </w:r>
      <w:hyperlink r:id="rId20" w:history="1">
        <w:r w:rsidR="00B21250" w:rsidRPr="00B21250">
          <w:rPr>
            <w:rStyle w:val="Hyperlink"/>
          </w:rPr>
          <w:t>DCP332</w:t>
        </w:r>
      </w:hyperlink>
      <w:r w:rsidR="00B21250">
        <w:t xml:space="preserve"> and </w:t>
      </w:r>
      <w:hyperlink r:id="rId21" w:history="1">
        <w:r w:rsidR="00B21250" w:rsidRPr="009D219C">
          <w:rPr>
            <w:rStyle w:val="Hyperlink"/>
          </w:rPr>
          <w:t>DCP333</w:t>
        </w:r>
      </w:hyperlink>
      <w:r w:rsidR="007772D1">
        <w:t>.</w:t>
      </w:r>
    </w:p>
    <w:p w14:paraId="087DD2BD" w14:textId="2E4D48CC" w:rsidR="00BF295F" w:rsidRDefault="00DB6CD1" w:rsidP="00BF295F">
      <w:pPr>
        <w:pStyle w:val="Heading1"/>
      </w:pPr>
      <w:bookmarkStart w:id="3" w:name="_Toc225238728"/>
      <w:r>
        <w:t>Governance</w:t>
      </w:r>
      <w:bookmarkEnd w:id="3"/>
    </w:p>
    <w:p w14:paraId="33B1182D" w14:textId="2B99DC59" w:rsidR="00BF295F" w:rsidRDefault="00835043" w:rsidP="001F546D">
      <w:pPr>
        <w:pStyle w:val="ListParagraph"/>
        <w:numPr>
          <w:ilvl w:val="1"/>
          <w:numId w:val="2"/>
        </w:numPr>
        <w:jc w:val="both"/>
      </w:pPr>
      <w:r w:rsidRPr="00835043">
        <w:t xml:space="preserve">This CP </w:t>
      </w:r>
      <w:r>
        <w:t xml:space="preserve">is </w:t>
      </w:r>
      <w:r w:rsidRPr="00835043">
        <w:t>a Part</w:t>
      </w:r>
      <w:r w:rsidR="000F7254">
        <w:t xml:space="preserve"> 1</w:t>
      </w:r>
      <w:r w:rsidRPr="00835043">
        <w:t xml:space="preserve"> Matter as</w:t>
      </w:r>
      <w:r w:rsidR="00196317">
        <w:t xml:space="preserve"> </w:t>
      </w:r>
      <w:r w:rsidR="00326C2C">
        <w:t xml:space="preserve">it will have significant impact on Electricity Consumers, Suppliers, </w:t>
      </w:r>
      <w:r w:rsidR="00326B17">
        <w:t xml:space="preserve">Distributors and the commercial activities associated with them. It will also have significant commercial impact on </w:t>
      </w:r>
      <w:r w:rsidR="0017369E">
        <w:t>customers.</w:t>
      </w:r>
    </w:p>
    <w:p w14:paraId="2BF9440D" w14:textId="4C4728CC" w:rsidR="00BF295F" w:rsidRDefault="00F157E1" w:rsidP="001F546D">
      <w:pPr>
        <w:pStyle w:val="ListParagraph"/>
        <w:numPr>
          <w:ilvl w:val="1"/>
          <w:numId w:val="2"/>
        </w:numPr>
        <w:jc w:val="both"/>
      </w:pPr>
      <w:r>
        <w:t>T</w:t>
      </w:r>
      <w:r w:rsidRPr="00F157E1">
        <w:t xml:space="preserve">his consultation is issued for a period of </w:t>
      </w:r>
      <w:r w:rsidRPr="0017369E">
        <w:t>15</w:t>
      </w:r>
      <w:r w:rsidRPr="00F157E1">
        <w:t xml:space="preserve"> working days</w:t>
      </w:r>
      <w:r>
        <w:t>.</w:t>
      </w:r>
    </w:p>
    <w:p w14:paraId="7611226F" w14:textId="055D305F" w:rsidR="00BF295F" w:rsidRDefault="00DB6CD1" w:rsidP="00BF295F">
      <w:pPr>
        <w:pStyle w:val="Heading1"/>
      </w:pPr>
      <w:bookmarkStart w:id="4" w:name="_Toc225238729"/>
      <w:r>
        <w:t>Why Change?</w:t>
      </w:r>
      <w:bookmarkEnd w:id="4"/>
    </w:p>
    <w:p w14:paraId="410D0E33" w14:textId="77777777" w:rsidR="00270E7E" w:rsidRDefault="00270E7E" w:rsidP="00270E7E">
      <w:pPr>
        <w:pStyle w:val="ListParagraph"/>
        <w:numPr>
          <w:ilvl w:val="1"/>
          <w:numId w:val="2"/>
        </w:numPr>
        <w:jc w:val="both"/>
      </w:pPr>
      <w:r>
        <w:t>Smart Meter Communication Licence Costs relate to the provision of centralised communication services required for smart metered settlement. Distributors are charged by the Data Communication Company (DCC) for the provision of these communication services based on the number of connected Mandated Smart Metering Systems (MSMS). MSMS are all domestic supply points (Profile class 1 and 2) and non-domestic supply points with profile class 3 and 4, i.e. customers who are billed on an aggregated basis (Paragraph 74 and 75 of the DCC charging statement).</w:t>
      </w:r>
    </w:p>
    <w:p w14:paraId="5757E981" w14:textId="304D156C" w:rsidR="00270E7E" w:rsidRDefault="00270E7E" w:rsidP="00270E7E">
      <w:pPr>
        <w:pStyle w:val="ListParagraph"/>
        <w:numPr>
          <w:ilvl w:val="1"/>
          <w:numId w:val="2"/>
        </w:numPr>
        <w:jc w:val="both"/>
      </w:pPr>
      <w:r>
        <w:t xml:space="preserve">The Smart Meter Communication Licence Costs are charges to Distributors based on the number of mandated smart metering systems. Within the CDCM, they are currently modelled through the residual charging element and are essentially the costs that go into the allowed revenue section and applies across all customer categories instead of just the aggregated customers. </w:t>
      </w:r>
    </w:p>
    <w:p w14:paraId="245DF141" w14:textId="77777777" w:rsidR="00270E7E" w:rsidRDefault="00270E7E" w:rsidP="00270E7E">
      <w:pPr>
        <w:pStyle w:val="ListParagraph"/>
        <w:numPr>
          <w:ilvl w:val="1"/>
          <w:numId w:val="2"/>
        </w:numPr>
        <w:jc w:val="both"/>
      </w:pPr>
      <w:r>
        <w:t xml:space="preserve">Recovering Smart Meter Communication Licence Costs across all CDCM tariffs results in costs being recovered from customers who are not material drivers of those costs, therefore, this CP seeks to </w:t>
      </w:r>
      <w:r>
        <w:lastRenderedPageBreak/>
        <w:t>address this by introducing a transparent recovery mechanism that better reflects the way in which costs are incurred and which aligns with established CDCM methods.</w:t>
      </w:r>
    </w:p>
    <w:p w14:paraId="26FC0F78" w14:textId="71741B70" w:rsidR="00270E7E" w:rsidRDefault="00270E7E" w:rsidP="00270E7E">
      <w:pPr>
        <w:pStyle w:val="ListParagraph"/>
        <w:numPr>
          <w:ilvl w:val="1"/>
          <w:numId w:val="2"/>
        </w:numPr>
        <w:jc w:val="both"/>
      </w:pPr>
      <w:r>
        <w:t>This CP is looking to amend the CDCM so that Smart Meter Communication Licence Costs are applied as a fixed charge adder (the approach used for Supplier of Last Resort and Eligible Bad Debt) and applied to aggregated demand tariffs only.</w:t>
      </w:r>
    </w:p>
    <w:p w14:paraId="78AB47B9" w14:textId="6D066F65" w:rsidR="009D219C" w:rsidRPr="00E46ECE" w:rsidRDefault="009D219C" w:rsidP="00D23C64">
      <w:pPr>
        <w:ind w:left="567"/>
        <w:jc w:val="both"/>
        <w:rPr>
          <w:b/>
          <w:bCs/>
          <w:i/>
          <w:iCs/>
        </w:rPr>
      </w:pPr>
      <w:r w:rsidRPr="00E46ECE">
        <w:rPr>
          <w:b/>
          <w:bCs/>
          <w:i/>
          <w:iCs/>
        </w:rPr>
        <w:t>Q</w:t>
      </w:r>
      <w:r w:rsidR="00270E7E" w:rsidRPr="00E46ECE">
        <w:rPr>
          <w:b/>
          <w:bCs/>
          <w:i/>
          <w:iCs/>
        </w:rPr>
        <w:t xml:space="preserve">uestion </w:t>
      </w:r>
      <w:r w:rsidRPr="00E46ECE">
        <w:rPr>
          <w:b/>
          <w:bCs/>
          <w:i/>
          <w:iCs/>
        </w:rPr>
        <w:t xml:space="preserve">1: Do you understand the intent of </w:t>
      </w:r>
      <w:r w:rsidR="00270E7E" w:rsidRPr="00E46ECE">
        <w:rPr>
          <w:b/>
          <w:bCs/>
          <w:i/>
          <w:iCs/>
        </w:rPr>
        <w:t>the CP</w:t>
      </w:r>
      <w:r w:rsidR="003F60AC">
        <w:rPr>
          <w:b/>
          <w:bCs/>
          <w:i/>
          <w:iCs/>
        </w:rPr>
        <w:t>?</w:t>
      </w:r>
    </w:p>
    <w:p w14:paraId="66B43312" w14:textId="2AEC5B70" w:rsidR="00270E7E" w:rsidRPr="00E46ECE" w:rsidRDefault="00270E7E" w:rsidP="00D23C64">
      <w:pPr>
        <w:ind w:left="567"/>
        <w:jc w:val="both"/>
        <w:rPr>
          <w:i/>
          <w:iCs/>
        </w:rPr>
      </w:pPr>
      <w:r w:rsidRPr="00E46ECE">
        <w:rPr>
          <w:b/>
          <w:bCs/>
          <w:i/>
          <w:iCs/>
        </w:rPr>
        <w:t>Question 2: Are you supportive of the principle of the CP</w:t>
      </w:r>
      <w:r w:rsidR="003F60AC">
        <w:rPr>
          <w:b/>
          <w:bCs/>
          <w:i/>
          <w:iCs/>
        </w:rPr>
        <w:t>?</w:t>
      </w:r>
    </w:p>
    <w:p w14:paraId="4E3C77EE" w14:textId="378A397B" w:rsidR="00BF295F" w:rsidRDefault="00DB6CD1" w:rsidP="002A6C80">
      <w:pPr>
        <w:pStyle w:val="Heading1"/>
      </w:pPr>
      <w:bookmarkStart w:id="5" w:name="_Toc225238730"/>
      <w:r>
        <w:t>Working Group Assessment</w:t>
      </w:r>
      <w:bookmarkEnd w:id="5"/>
    </w:p>
    <w:p w14:paraId="00D1B81C" w14:textId="73985BCB" w:rsidR="00BF295F" w:rsidRDefault="002A6C80" w:rsidP="00114AC3">
      <w:pPr>
        <w:pStyle w:val="ListParagraph"/>
        <w:numPr>
          <w:ilvl w:val="1"/>
          <w:numId w:val="2"/>
        </w:numPr>
        <w:jc w:val="both"/>
      </w:pPr>
      <w:r>
        <w:t>The DCUSA Panel established a Working Group to assess this CP. This Working Group consists of DNO</w:t>
      </w:r>
      <w:r w:rsidR="00F91C51">
        <w:t xml:space="preserve"> and IDNO representatives and has an </w:t>
      </w:r>
      <w:commentRangeStart w:id="6"/>
      <w:r w:rsidR="00F91C51">
        <w:t>Ofgem observer in attendance</w:t>
      </w:r>
      <w:commentRangeEnd w:id="6"/>
      <w:r w:rsidR="00F91C51">
        <w:rPr>
          <w:rStyle w:val="CommentReference"/>
          <w:sz w:val="20"/>
          <w:szCs w:val="22"/>
        </w:rPr>
        <w:commentReference w:id="6"/>
      </w:r>
      <w:r w:rsidR="00F91C51">
        <w:t xml:space="preserve">. </w:t>
      </w:r>
      <w:r w:rsidR="007769DA">
        <w:t xml:space="preserve">Meetings were held in open session and the minutes and papers of each meeting are available on the DCUSA website </w:t>
      </w:r>
      <w:r w:rsidR="004F6400">
        <w:t>–</w:t>
      </w:r>
      <w:r w:rsidR="007769DA">
        <w:t xml:space="preserve"> </w:t>
      </w:r>
      <w:hyperlink r:id="rId22" w:history="1">
        <w:r w:rsidR="004F6400" w:rsidRPr="005822A5">
          <w:rPr>
            <w:rStyle w:val="Hyperlink"/>
          </w:rPr>
          <w:t>www.dcusa.co.uk</w:t>
        </w:r>
      </w:hyperlink>
      <w:r w:rsidR="004F6400">
        <w:t xml:space="preserve"> </w:t>
      </w:r>
    </w:p>
    <w:p w14:paraId="06B87582" w14:textId="69AD0725" w:rsidR="004F6400" w:rsidRDefault="00270E7E" w:rsidP="00114AC3">
      <w:pPr>
        <w:pStyle w:val="ListParagraph"/>
        <w:numPr>
          <w:ilvl w:val="1"/>
          <w:numId w:val="2"/>
        </w:numPr>
        <w:jc w:val="both"/>
      </w:pPr>
      <w:r>
        <w:t>The</w:t>
      </w:r>
      <w:r w:rsidR="004F6400">
        <w:t xml:space="preserve"> Working Group </w:t>
      </w:r>
      <w:r w:rsidR="00A34A28">
        <w:t xml:space="preserve">recognises that DCP 474 is intending to introduce a new fixed charge adder </w:t>
      </w:r>
      <w:r w:rsidR="001B1938">
        <w:t xml:space="preserve">under Step 5 of </w:t>
      </w:r>
      <w:r w:rsidR="00A34A28">
        <w:t>Schedule 16</w:t>
      </w:r>
      <w:r w:rsidR="001B1938">
        <w:t xml:space="preserve"> that would apply only to Aggregated Metered Demand tariffs and would be calculated on an equivalent p/MPAN/days basis.</w:t>
      </w:r>
    </w:p>
    <w:p w14:paraId="7126BCBA" w14:textId="6A196BA0" w:rsidR="0082043C" w:rsidRDefault="0082043C" w:rsidP="00114AC3">
      <w:pPr>
        <w:jc w:val="both"/>
        <w:rPr>
          <w:b/>
          <w:bCs/>
        </w:rPr>
      </w:pPr>
      <w:r>
        <w:rPr>
          <w:b/>
          <w:bCs/>
        </w:rPr>
        <w:t>Working Group Discussions</w:t>
      </w:r>
    </w:p>
    <w:p w14:paraId="76BB0C6C" w14:textId="0D277D33" w:rsidR="006677DF" w:rsidRPr="0082043C" w:rsidRDefault="006677DF" w:rsidP="00114AC3">
      <w:pPr>
        <w:jc w:val="both"/>
        <w:rPr>
          <w:b/>
          <w:bCs/>
        </w:rPr>
      </w:pPr>
      <w:r>
        <w:rPr>
          <w:b/>
          <w:bCs/>
        </w:rPr>
        <w:t>Allocation of costs</w:t>
      </w:r>
    </w:p>
    <w:p w14:paraId="57585EBF" w14:textId="1067FCEA" w:rsidR="001F5792" w:rsidRDefault="0082043C" w:rsidP="00114AC3">
      <w:pPr>
        <w:pStyle w:val="ListParagraph"/>
        <w:numPr>
          <w:ilvl w:val="1"/>
          <w:numId w:val="2"/>
        </w:numPr>
        <w:jc w:val="both"/>
      </w:pPr>
      <w:r>
        <w:t>It</w:t>
      </w:r>
      <w:r w:rsidR="007213D2">
        <w:t xml:space="preserve"> was questioned by one Working Group member as to what assumptions were being made in terms of the proposed rebalancing of </w:t>
      </w:r>
      <w:r w:rsidR="00D55714">
        <w:t xml:space="preserve">costs and it was noted that currently </w:t>
      </w:r>
      <w:r w:rsidR="006677DF">
        <w:t>distributors</w:t>
      </w:r>
      <w:r w:rsidR="00D55714">
        <w:t xml:space="preserve"> are paying around 6% of the DCC costs and Suppliers are picking up the other 94%, however, the </w:t>
      </w:r>
      <w:r w:rsidR="001325DD">
        <w:t xml:space="preserve">6% allocated to the </w:t>
      </w:r>
      <w:r w:rsidR="006677DF">
        <w:t>distributors</w:t>
      </w:r>
      <w:r w:rsidR="00114AC3">
        <w:t xml:space="preserve"> </w:t>
      </w:r>
      <w:r w:rsidR="001325DD">
        <w:t xml:space="preserve">will be being increased to around 40% of the overall DCC costs coming through the </w:t>
      </w:r>
      <w:r w:rsidR="006677DF">
        <w:t>distributors</w:t>
      </w:r>
      <w:r w:rsidR="001325DD">
        <w:t xml:space="preserve"> tariffs </w:t>
      </w:r>
      <w:r w:rsidR="00EC3D6D">
        <w:t xml:space="preserve">and these are in the current proposals for the 2027/28 tariffs. </w:t>
      </w:r>
      <w:commentRangeStart w:id="7"/>
      <w:r w:rsidR="00EC3D6D">
        <w:t xml:space="preserve">These were first raised </w:t>
      </w:r>
      <w:r w:rsidR="00B276DE">
        <w:t>at the Energy Networks Association</w:t>
      </w:r>
      <w:r w:rsidR="00174684">
        <w:t>,</w:t>
      </w:r>
      <w:r w:rsidR="00B276DE">
        <w:t xml:space="preserve"> and the final split will be published in September</w:t>
      </w:r>
      <w:r w:rsidR="00024622">
        <w:t xml:space="preserve">, </w:t>
      </w:r>
      <w:commentRangeEnd w:id="7"/>
      <w:r w:rsidR="00E46ECE">
        <w:rPr>
          <w:rStyle w:val="CommentReference"/>
          <w:sz w:val="20"/>
          <w:szCs w:val="22"/>
        </w:rPr>
        <w:commentReference w:id="7"/>
      </w:r>
      <w:r w:rsidR="00024622">
        <w:t>however</w:t>
      </w:r>
      <w:r w:rsidR="0020372A">
        <w:t xml:space="preserve">, it all stemmed from the Smart Energy Code (SEC) </w:t>
      </w:r>
      <w:hyperlink r:id="rId23" w:history="1">
        <w:r w:rsidR="0020372A" w:rsidRPr="004103A6">
          <w:rPr>
            <w:rStyle w:val="Hyperlink"/>
          </w:rPr>
          <w:t>DP 218 modification ‘Review of the SEC Charging Methodology’</w:t>
        </w:r>
      </w:hyperlink>
      <w:r w:rsidR="004103A6">
        <w:t xml:space="preserve">. </w:t>
      </w:r>
    </w:p>
    <w:p w14:paraId="2780CB66" w14:textId="2830EA98" w:rsidR="006677DF" w:rsidRDefault="006677DF" w:rsidP="006677DF">
      <w:pPr>
        <w:pStyle w:val="ListParagraph"/>
        <w:numPr>
          <w:ilvl w:val="1"/>
          <w:numId w:val="2"/>
        </w:numPr>
        <w:jc w:val="both"/>
      </w:pPr>
      <w:r>
        <w:t>It was noted that this SEC change had been raised by the DCC but was withdrawn</w:t>
      </w:r>
      <w:r w:rsidRPr="006677DF">
        <w:t xml:space="preserve"> on 4 August 2025</w:t>
      </w:r>
      <w:r>
        <w:t xml:space="preserve">, however this was adopted by </w:t>
      </w:r>
      <w:r w:rsidRPr="006677DF">
        <w:t xml:space="preserve">British Gas </w:t>
      </w:r>
      <w:r>
        <w:t xml:space="preserve">under </w:t>
      </w:r>
      <w:r w:rsidRPr="006677DF">
        <w:t>SEC Section D5.4. SECAS is working with the new Proposer on the next steps.</w:t>
      </w:r>
    </w:p>
    <w:p w14:paraId="7F0DC6C5" w14:textId="698E7752" w:rsidR="002238FD" w:rsidRDefault="002238FD" w:rsidP="006677DF">
      <w:pPr>
        <w:pStyle w:val="ListParagraph"/>
        <w:numPr>
          <w:ilvl w:val="1"/>
          <w:numId w:val="2"/>
        </w:numPr>
        <w:jc w:val="both"/>
      </w:pPr>
      <w:r>
        <w:t>The cost allocation is not a consideration for this CP since it is governed under the SEC.</w:t>
      </w:r>
    </w:p>
    <w:p w14:paraId="46D56998" w14:textId="44205D71" w:rsidR="00FD0819" w:rsidRPr="00FD0819" w:rsidRDefault="00FD0819" w:rsidP="00FD0819">
      <w:pPr>
        <w:jc w:val="both"/>
        <w:rPr>
          <w:b/>
          <w:bCs/>
        </w:rPr>
      </w:pPr>
      <w:r w:rsidRPr="00FD0819">
        <w:rPr>
          <w:b/>
          <w:bCs/>
        </w:rPr>
        <w:t>Supplier of Last Resort and Eligible Bad Debt</w:t>
      </w:r>
    </w:p>
    <w:p w14:paraId="56842078" w14:textId="0E48AAB8" w:rsidR="00D23C64" w:rsidRDefault="00D23C64" w:rsidP="00E46ECE">
      <w:pPr>
        <w:pStyle w:val="ListParagraph"/>
        <w:numPr>
          <w:ilvl w:val="1"/>
          <w:numId w:val="2"/>
        </w:numPr>
        <w:jc w:val="both"/>
      </w:pPr>
      <w:r>
        <w:t>Some Working Group members were unsure whether the addition of this CP would be better than the current status quo citing that the Smart Meter Communication Licence Costs would be allocated to all domestic and commercial customers on aggregated tariffs irrespective of whether they had a smart meter fitted</w:t>
      </w:r>
      <w:r w:rsidR="00A61EAD">
        <w:t xml:space="preserve"> or not</w:t>
      </w:r>
      <w:r>
        <w:t>.</w:t>
      </w:r>
    </w:p>
    <w:p w14:paraId="25607CBA" w14:textId="6CE0A524" w:rsidR="00A61EAD" w:rsidRDefault="00A61EAD" w:rsidP="00A61EAD">
      <w:pPr>
        <w:pStyle w:val="ListParagraph"/>
        <w:numPr>
          <w:ilvl w:val="1"/>
          <w:numId w:val="2"/>
        </w:numPr>
        <w:jc w:val="both"/>
      </w:pPr>
      <w:r>
        <w:t>It was agreed that this would be the case but added that by the time of implementation the smart meter roll out should be nearing completion (current deadline being the end of 2030</w:t>
      </w:r>
      <w:r>
        <w:rPr>
          <w:rStyle w:val="FootnoteReference"/>
        </w:rPr>
        <w:footnoteReference w:id="1"/>
      </w:r>
      <w:r>
        <w:t>) with the latest government report</w:t>
      </w:r>
      <w:r>
        <w:rPr>
          <w:rStyle w:val="FootnoteReference"/>
        </w:rPr>
        <w:footnoteReference w:id="2"/>
      </w:r>
      <w:r>
        <w:t xml:space="preserve"> ci</w:t>
      </w:r>
      <w:r w:rsidR="006B2B78">
        <w:t>ting</w:t>
      </w:r>
      <w:r>
        <w:t xml:space="preserve"> 70% completion to date and the impl</w:t>
      </w:r>
      <w:r w:rsidR="006B2B78">
        <w:t>eme</w:t>
      </w:r>
      <w:r>
        <w:t>ntation date</w:t>
      </w:r>
      <w:r w:rsidR="006B2B78">
        <w:t xml:space="preserve"> </w:t>
      </w:r>
      <w:r>
        <w:t>suggesting either 2028/29 or 2029/30.</w:t>
      </w:r>
    </w:p>
    <w:p w14:paraId="63A4D9FB" w14:textId="399CFC34" w:rsidR="00E46ECE" w:rsidRDefault="00FD0819" w:rsidP="00E46ECE">
      <w:pPr>
        <w:pStyle w:val="ListParagraph"/>
        <w:numPr>
          <w:ilvl w:val="1"/>
          <w:numId w:val="2"/>
        </w:numPr>
        <w:jc w:val="both"/>
      </w:pPr>
      <w:r>
        <w:t xml:space="preserve">The Working Group also thought it would be beneficial to review the other two categories of pass-through costs (Supplier of Last Resort and Eligible Bad Debt) to see if there are any similarities to the Smart Meter Communication Licence Costs, as it will provide further rationale for this CP. </w:t>
      </w:r>
    </w:p>
    <w:p w14:paraId="4D620A75" w14:textId="03D4DE5C" w:rsidR="00FD0819" w:rsidRDefault="00FD0819" w:rsidP="00E46ECE">
      <w:pPr>
        <w:pStyle w:val="ListParagraph"/>
        <w:numPr>
          <w:ilvl w:val="1"/>
          <w:numId w:val="2"/>
        </w:numPr>
        <w:jc w:val="both"/>
      </w:pPr>
      <w:r>
        <w:t xml:space="preserve">The </w:t>
      </w:r>
      <w:hyperlink r:id="rId24" w:history="1">
        <w:r w:rsidRPr="00FD0819">
          <w:rPr>
            <w:rStyle w:val="Hyperlink"/>
          </w:rPr>
          <w:t>Ofgem decision</w:t>
        </w:r>
      </w:hyperlink>
      <w:r>
        <w:t xml:space="preserve"> on these </w:t>
      </w:r>
      <w:r w:rsidR="003F60AC">
        <w:t xml:space="preserve">two </w:t>
      </w:r>
      <w:r>
        <w:t>changes supported the following approach:</w:t>
      </w:r>
    </w:p>
    <w:p w14:paraId="58DB6B3D" w14:textId="77777777" w:rsidR="003F60AC" w:rsidRDefault="00FD0819" w:rsidP="003F60AC">
      <w:pPr>
        <w:pStyle w:val="ListParagraph"/>
        <w:numPr>
          <w:ilvl w:val="1"/>
          <w:numId w:val="6"/>
        </w:numPr>
        <w:tabs>
          <w:tab w:val="left" w:pos="1134"/>
        </w:tabs>
        <w:ind w:left="1134" w:hanging="567"/>
        <w:jc w:val="both"/>
      </w:pPr>
      <w:r>
        <w:lastRenderedPageBreak/>
        <w:t xml:space="preserve">DCP332 </w:t>
      </w:r>
      <w:r w:rsidR="003F60AC">
        <w:t xml:space="preserve">(SoLR) </w:t>
      </w:r>
      <w:r w:rsidRPr="00FD0819">
        <w:t>– costs recovered through fixed charges for domestic customers</w:t>
      </w:r>
      <w:r w:rsidR="003F60AC">
        <w:t xml:space="preserve">; and </w:t>
      </w:r>
    </w:p>
    <w:p w14:paraId="0D59816E" w14:textId="0A62027F" w:rsidR="00FD0819" w:rsidRDefault="003F60AC" w:rsidP="003F60AC">
      <w:pPr>
        <w:pStyle w:val="ListParagraph"/>
        <w:numPr>
          <w:ilvl w:val="1"/>
          <w:numId w:val="6"/>
        </w:numPr>
        <w:tabs>
          <w:tab w:val="left" w:pos="1134"/>
        </w:tabs>
        <w:ind w:left="1134" w:hanging="567"/>
        <w:jc w:val="both"/>
      </w:pPr>
      <w:r>
        <w:t xml:space="preserve">DCP333 (Eligible bad debt) - </w:t>
      </w:r>
      <w:r w:rsidRPr="003F60AC">
        <w:t>costs recovered through fixed charges for all demand customers with a fixed charge</w:t>
      </w:r>
      <w:r>
        <w:t>, and for comparison</w:t>
      </w:r>
    </w:p>
    <w:p w14:paraId="5039927B" w14:textId="41A2A2AE" w:rsidR="003F60AC" w:rsidRDefault="003F60AC" w:rsidP="003F60AC">
      <w:pPr>
        <w:pStyle w:val="ListParagraph"/>
        <w:numPr>
          <w:ilvl w:val="1"/>
          <w:numId w:val="6"/>
        </w:numPr>
        <w:tabs>
          <w:tab w:val="left" w:pos="1134"/>
        </w:tabs>
        <w:ind w:left="1134" w:hanging="567"/>
        <w:jc w:val="both"/>
      </w:pPr>
      <w:r>
        <w:t xml:space="preserve">DCP474 (DCC costs – costs recovered through fixed charges for all domestic and commercial Profile class 1-4 customers (note suggested amendment covered under </w:t>
      </w:r>
      <w:r w:rsidRPr="003F60AC">
        <w:rPr>
          <w:highlight w:val="yellow"/>
        </w:rPr>
        <w:t>Para x below</w:t>
      </w:r>
      <w:r>
        <w:t>)</w:t>
      </w:r>
    </w:p>
    <w:p w14:paraId="42845B51" w14:textId="2EF6A64B" w:rsidR="00B801BF" w:rsidRDefault="00B801BF" w:rsidP="00114AC3">
      <w:pPr>
        <w:pStyle w:val="ListParagraph"/>
        <w:ind w:left="567"/>
        <w:jc w:val="both"/>
        <w:rPr>
          <w:i/>
          <w:iCs/>
        </w:rPr>
      </w:pPr>
      <w:r w:rsidRPr="00D23C64">
        <w:rPr>
          <w:b/>
          <w:bCs/>
          <w:i/>
          <w:iCs/>
        </w:rPr>
        <w:t>Question</w:t>
      </w:r>
      <w:r w:rsidR="00D23C64" w:rsidRPr="00D23C64">
        <w:rPr>
          <w:b/>
          <w:bCs/>
          <w:i/>
          <w:iCs/>
        </w:rPr>
        <w:t>3:</w:t>
      </w:r>
      <w:r w:rsidR="00FD0819" w:rsidRPr="00D23C64">
        <w:rPr>
          <w:b/>
          <w:bCs/>
          <w:i/>
          <w:iCs/>
        </w:rPr>
        <w:t xml:space="preserve"> </w:t>
      </w:r>
      <w:r w:rsidRPr="00D23C64">
        <w:rPr>
          <w:b/>
          <w:bCs/>
          <w:i/>
          <w:iCs/>
        </w:rPr>
        <w:t>Do you believe that the proposed solution for this CP is better than the current status quo? Please provide support</w:t>
      </w:r>
      <w:r w:rsidR="00D23C64" w:rsidRPr="00D23C64">
        <w:rPr>
          <w:b/>
          <w:bCs/>
          <w:i/>
          <w:iCs/>
        </w:rPr>
        <w:t>ing</w:t>
      </w:r>
      <w:r w:rsidRPr="00D23C64">
        <w:rPr>
          <w:b/>
          <w:bCs/>
          <w:i/>
          <w:iCs/>
        </w:rPr>
        <w:t xml:space="preserve"> commentary with your answer</w:t>
      </w:r>
      <w:r w:rsidRPr="00D23C64">
        <w:rPr>
          <w:i/>
          <w:iCs/>
        </w:rPr>
        <w:t>.</w:t>
      </w:r>
    </w:p>
    <w:p w14:paraId="29674B77" w14:textId="77777777" w:rsidR="009C18F0" w:rsidRDefault="009C18F0" w:rsidP="00114AC3">
      <w:pPr>
        <w:pStyle w:val="ListParagraph"/>
        <w:ind w:left="567"/>
        <w:jc w:val="both"/>
        <w:rPr>
          <w:i/>
          <w:iCs/>
        </w:rPr>
      </w:pPr>
    </w:p>
    <w:p w14:paraId="7ADFFE90" w14:textId="04304368" w:rsidR="00E46ECE" w:rsidRPr="00E46ECE" w:rsidRDefault="00E46ECE" w:rsidP="00E46ECE">
      <w:pPr>
        <w:jc w:val="both"/>
        <w:rPr>
          <w:b/>
          <w:bCs/>
        </w:rPr>
      </w:pPr>
      <w:r w:rsidRPr="00E46ECE">
        <w:rPr>
          <w:b/>
          <w:bCs/>
        </w:rPr>
        <w:t>Related MPANS</w:t>
      </w:r>
    </w:p>
    <w:p w14:paraId="33996366" w14:textId="77777777" w:rsidR="006B2B78" w:rsidRDefault="001123AE" w:rsidP="00114AC3">
      <w:pPr>
        <w:pStyle w:val="ListParagraph"/>
        <w:numPr>
          <w:ilvl w:val="1"/>
          <w:numId w:val="2"/>
        </w:numPr>
        <w:jc w:val="both"/>
      </w:pPr>
      <w:r>
        <w:t xml:space="preserve">It was also agreed by the Working Group that the original suggestion to include “related MPANs” should be removed otherwise there is a risk that a customer </w:t>
      </w:r>
      <w:r w:rsidR="00F22C73">
        <w:t>will</w:t>
      </w:r>
      <w:r>
        <w:t xml:space="preserve"> end up paying for the charge twice if they have two MPANs associated with their property</w:t>
      </w:r>
      <w:r w:rsidR="00184129">
        <w:t>.</w:t>
      </w:r>
    </w:p>
    <w:p w14:paraId="28CC523F" w14:textId="1EAF2A73" w:rsidR="003D09D6" w:rsidRDefault="009C18F0" w:rsidP="00114AC3">
      <w:pPr>
        <w:pStyle w:val="ListParagraph"/>
        <w:numPr>
          <w:ilvl w:val="1"/>
          <w:numId w:val="2"/>
        </w:numPr>
        <w:jc w:val="both"/>
      </w:pPr>
      <w:r>
        <w:t>It was also noted that t</w:t>
      </w:r>
      <w:r w:rsidR="006B2B78">
        <w:t>his is also the approach adopted for SoLR and Eligible Bad Debt.</w:t>
      </w:r>
      <w:r w:rsidR="00184129">
        <w:t xml:space="preserve"> </w:t>
      </w:r>
    </w:p>
    <w:p w14:paraId="7AC5F973" w14:textId="21039B76" w:rsidR="00184129" w:rsidRDefault="00184129" w:rsidP="00114AC3">
      <w:pPr>
        <w:pStyle w:val="ListParagraph"/>
        <w:ind w:left="567"/>
        <w:jc w:val="both"/>
        <w:rPr>
          <w:b/>
          <w:bCs/>
          <w:i/>
          <w:iCs/>
        </w:rPr>
      </w:pPr>
      <w:r w:rsidRPr="009C18F0">
        <w:rPr>
          <w:b/>
          <w:bCs/>
          <w:i/>
          <w:iCs/>
        </w:rPr>
        <w:t xml:space="preserve">Question </w:t>
      </w:r>
      <w:r w:rsidR="009C18F0">
        <w:rPr>
          <w:b/>
          <w:bCs/>
          <w:i/>
          <w:iCs/>
        </w:rPr>
        <w:t>4</w:t>
      </w:r>
      <w:r w:rsidRPr="009C18F0">
        <w:rPr>
          <w:b/>
          <w:bCs/>
          <w:i/>
          <w:iCs/>
        </w:rPr>
        <w:t xml:space="preserve"> – Do you believe that </w:t>
      </w:r>
      <w:r w:rsidR="00755035" w:rsidRPr="009C18F0">
        <w:rPr>
          <w:b/>
          <w:bCs/>
          <w:i/>
          <w:iCs/>
        </w:rPr>
        <w:t xml:space="preserve">removing “related MPANs” </w:t>
      </w:r>
      <w:r w:rsidR="009C18F0">
        <w:rPr>
          <w:b/>
          <w:bCs/>
          <w:i/>
          <w:iCs/>
        </w:rPr>
        <w:t>is the correct approo=ach. If not please provide supporting commentary.</w:t>
      </w:r>
    </w:p>
    <w:p w14:paraId="3357BE9B" w14:textId="77777777" w:rsidR="009C18F0" w:rsidRPr="009C18F0" w:rsidRDefault="009C18F0" w:rsidP="00114AC3">
      <w:pPr>
        <w:pStyle w:val="ListParagraph"/>
        <w:ind w:left="567"/>
        <w:jc w:val="both"/>
        <w:rPr>
          <w:b/>
          <w:bCs/>
          <w:i/>
          <w:iCs/>
        </w:rPr>
      </w:pPr>
    </w:p>
    <w:p w14:paraId="36708004" w14:textId="3B1ECC9E" w:rsidR="00BF295F" w:rsidRDefault="00DB6CD1" w:rsidP="00BF295F">
      <w:pPr>
        <w:pStyle w:val="Heading1"/>
      </w:pPr>
      <w:bookmarkStart w:id="8" w:name="_Toc225238731"/>
      <w:r>
        <w:t>Relevant Objectives</w:t>
      </w:r>
      <w:bookmarkEnd w:id="8"/>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71380CCC"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demonstrated that it better facilitates the DCUSA Objectives. This CP is being assessed against the DCUSA </w:t>
      </w:r>
      <w:r w:rsidRPr="00C03257">
        <w:t>Charging Objectives</w:t>
      </w:r>
      <w:r>
        <w:t>.</w:t>
      </w:r>
    </w:p>
    <w:p w14:paraId="313FBA5A" w14:textId="77777777" w:rsidR="006B66A3" w:rsidRDefault="006B66A3" w:rsidP="006B66A3"/>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672D79" w14:paraId="3549ED0F" w14:textId="77777777" w:rsidTr="00241168">
        <w:trPr>
          <w:cantSplit/>
          <w:trHeight w:val="397"/>
        </w:trPr>
        <w:tc>
          <w:tcPr>
            <w:tcW w:w="353" w:type="pct"/>
          </w:tcPr>
          <w:p w14:paraId="74DCE815"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59C06237"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r w:rsidRPr="00672D79">
              <w:rPr>
                <w:rFonts w:eastAsia="Times New Roman" w:cs="Arial"/>
                <w:b/>
                <w:color w:val="008576"/>
                <w:kern w:val="0"/>
                <w:sz w:val="24"/>
                <w:szCs w:val="24"/>
                <w:lang w:eastAsia="en-GB"/>
                <w14:ligatures w14:val="none"/>
              </w:rPr>
              <w:t xml:space="preserve">DCUSA Charging Objectives </w:t>
            </w:r>
          </w:p>
        </w:tc>
        <w:tc>
          <w:tcPr>
            <w:tcW w:w="634" w:type="pct"/>
          </w:tcPr>
          <w:p w14:paraId="4484CA19" w14:textId="77777777" w:rsidR="006B66A3" w:rsidRPr="00672D79" w:rsidRDefault="006B66A3" w:rsidP="00241168">
            <w:pPr>
              <w:spacing w:before="120" w:after="120" w:line="300" w:lineRule="atLeast"/>
              <w:ind w:left="113" w:right="113"/>
              <w:rPr>
                <w:rFonts w:eastAsia="Times New Roman" w:cs="Times New Roman"/>
                <w:b/>
                <w:kern w:val="0"/>
                <w:szCs w:val="24"/>
                <w:lang w:eastAsia="en-GB"/>
                <w14:ligatures w14:val="none"/>
              </w:rPr>
            </w:pPr>
            <w:r w:rsidRPr="00672D79">
              <w:rPr>
                <w:rFonts w:eastAsia="Times New Roman" w:cs="Times New Roman"/>
                <w:b/>
                <w:kern w:val="0"/>
                <w:szCs w:val="24"/>
                <w:lang w:eastAsia="en-GB"/>
                <w14:ligatures w14:val="none"/>
              </w:rPr>
              <w:t>Identified impact</w:t>
            </w:r>
          </w:p>
        </w:tc>
      </w:tr>
      <w:tr w:rsidR="006B66A3" w:rsidRPr="00672D79" w14:paraId="1468F032" w14:textId="77777777" w:rsidTr="00241168">
        <w:trPr>
          <w:cantSplit/>
          <w:trHeight w:val="397"/>
        </w:trPr>
        <w:tc>
          <w:tcPr>
            <w:tcW w:w="353" w:type="pct"/>
          </w:tcPr>
          <w:p w14:paraId="70183954" w14:textId="77777777" w:rsidR="006B66A3" w:rsidRPr="00672D79" w:rsidRDefault="00FE6851"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978911087"/>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C5C4665" w14:textId="77777777" w:rsidR="006B66A3" w:rsidRPr="00672D79" w:rsidRDefault="006B66A3" w:rsidP="00241168">
            <w:pPr>
              <w:numPr>
                <w:ilvl w:val="0"/>
                <w:numId w:val="4"/>
              </w:numPr>
              <w:spacing w:before="120" w:after="120" w:line="300" w:lineRule="atLeast"/>
              <w:ind w:left="288" w:hanging="284"/>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the discharge by the DNO Party of the obligations imposed on it under the Act and by its Distribution Licence</w:t>
            </w:r>
          </w:p>
        </w:tc>
        <w:tc>
          <w:tcPr>
            <w:tcW w:w="634" w:type="pct"/>
          </w:tcPr>
          <w:p w14:paraId="2DA317AB" w14:textId="79B2792F"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4CFD69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BF102B1" w14:textId="77777777" w:rsidTr="00241168">
        <w:trPr>
          <w:cantSplit/>
          <w:trHeight w:val="397"/>
        </w:trPr>
        <w:tc>
          <w:tcPr>
            <w:tcW w:w="353" w:type="pct"/>
          </w:tcPr>
          <w:p w14:paraId="18D3799F" w14:textId="0AFE3412" w:rsidR="006B66A3" w:rsidRPr="00672D79" w:rsidRDefault="00FE685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35739508"/>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03ED78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tcPr>
          <w:p w14:paraId="402684B0" w14:textId="3D166F5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20BD37AB"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60D6BE6" w14:textId="3BD10B2E"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16CE459A" w14:textId="77777777" w:rsidTr="00241168">
        <w:trPr>
          <w:cantSplit/>
          <w:trHeight w:val="397"/>
        </w:trPr>
        <w:tc>
          <w:tcPr>
            <w:tcW w:w="353" w:type="pct"/>
          </w:tcPr>
          <w:p w14:paraId="0800F341" w14:textId="54BB567E" w:rsidR="006B66A3" w:rsidRPr="00672D79" w:rsidRDefault="00FE685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966082827"/>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780CB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tcPr>
          <w:p w14:paraId="66944511" w14:textId="7AC89287"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12A819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36B9F3E4" w14:textId="5241A662"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4F449EFC" w14:textId="77777777" w:rsidTr="00241168">
        <w:trPr>
          <w:cantSplit/>
          <w:trHeight w:val="397"/>
        </w:trPr>
        <w:tc>
          <w:tcPr>
            <w:tcW w:w="353" w:type="pct"/>
          </w:tcPr>
          <w:p w14:paraId="0250DB46" w14:textId="2C18A12A" w:rsidR="006B66A3" w:rsidRPr="00672D79" w:rsidRDefault="00FE685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8763772"/>
                <w14:checkbox>
                  <w14:checked w14:val="1"/>
                  <w14:checkedState w14:val="0052" w14:font="Wingdings 2"/>
                  <w14:uncheckedState w14:val="2610" w14:font="MS Gothic"/>
                </w14:checkbox>
              </w:sdtPr>
              <w:sdtEnd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72F8B3FD"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so far as is consistent with Clauses 3.2.1 to 3.2.3, the Charging Methodologies, so far as is reasonably practicable, properly take account of developments in each DNO Party’s Distribution Business</w:t>
            </w:r>
          </w:p>
        </w:tc>
        <w:tc>
          <w:tcPr>
            <w:tcW w:w="634" w:type="pct"/>
          </w:tcPr>
          <w:p w14:paraId="792DD46A" w14:textId="7B07BA02"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E3AE330"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642A8BDE" w14:textId="25037214"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27E42E20" w14:textId="77777777" w:rsidTr="00241168">
        <w:trPr>
          <w:cantSplit/>
          <w:trHeight w:val="397"/>
        </w:trPr>
        <w:tc>
          <w:tcPr>
            <w:tcW w:w="353" w:type="pct"/>
          </w:tcPr>
          <w:p w14:paraId="16941380" w14:textId="77777777" w:rsidR="006B66A3" w:rsidRPr="00672D79" w:rsidRDefault="00FE6851"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16786503"/>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49BCC2D5"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Times New Roman"/>
                <w:color w:val="000000"/>
                <w:kern w:val="0"/>
                <w:szCs w:val="24"/>
                <w:shd w:val="clear" w:color="auto" w:fill="FFFFFF"/>
                <w:lang w:eastAsia="en-GB"/>
                <w14:ligatures w14:val="none"/>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tcPr>
          <w:p w14:paraId="137CC7DC" w14:textId="7970EDA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350BFC8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D7CE884" w14:textId="77777777" w:rsidTr="00241168">
        <w:trPr>
          <w:cantSplit/>
          <w:trHeight w:val="397"/>
        </w:trPr>
        <w:tc>
          <w:tcPr>
            <w:tcW w:w="353" w:type="pct"/>
          </w:tcPr>
          <w:p w14:paraId="77CA3BFE" w14:textId="77777777" w:rsidR="006B66A3" w:rsidRPr="00672D79" w:rsidRDefault="00FE6851" w:rsidP="00241168">
            <w:pPr>
              <w:spacing w:after="120" w:line="300" w:lineRule="atLeast"/>
              <w:jc w:val="center"/>
              <w:rPr>
                <w:rFonts w:ascii="Arial Black" w:eastAsia="Times New Roman" w:hAnsi="Arial Black" w:cs="Arial"/>
                <w:noProof/>
                <w:kern w:val="0"/>
                <w:sz w:val="48"/>
                <w:szCs w:val="56"/>
                <w:lang w:val="en-US"/>
                <w14:ligatures w14:val="none"/>
              </w:rPr>
            </w:pPr>
            <w:sdt>
              <w:sdtPr>
                <w:rPr>
                  <w:rFonts w:ascii="Arial Black" w:eastAsia="Times New Roman" w:hAnsi="Arial Black" w:cs="Arial"/>
                  <w:b/>
                  <w:bCs/>
                  <w:noProof/>
                  <w:color w:val="00B050"/>
                  <w:kern w:val="0"/>
                  <w:sz w:val="48"/>
                  <w:szCs w:val="56"/>
                  <w:lang w:eastAsia="en-GB"/>
                  <w14:ligatures w14:val="none"/>
                </w:rPr>
                <w:id w:val="1231656038"/>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46C6C39"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with the Charging Methodologies promotes efficiency in its own implementation and administration.</w:t>
            </w:r>
          </w:p>
        </w:tc>
        <w:tc>
          <w:tcPr>
            <w:tcW w:w="634" w:type="pct"/>
          </w:tcPr>
          <w:p w14:paraId="266158CE" w14:textId="23A3431A"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7F98A19C"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5BF0D9C2" w14:textId="77777777" w:rsidR="006B66A3" w:rsidRDefault="006B66A3" w:rsidP="006B66A3"/>
    <w:p w14:paraId="41DEBE18" w14:textId="4BA4F8FC" w:rsidR="006B66A3" w:rsidRDefault="00114AC3" w:rsidP="00114AC3">
      <w:pPr>
        <w:pStyle w:val="ListParagraph"/>
        <w:numPr>
          <w:ilvl w:val="1"/>
          <w:numId w:val="2"/>
        </w:numPr>
        <w:jc w:val="both"/>
      </w:pPr>
      <w:r>
        <w:t>The view of the proposer is</w:t>
      </w:r>
      <w:r w:rsidR="003205BF">
        <w:t xml:space="preserve"> that DCUSA Charging Objectives 2, 3 and 4 will be better facilitated by the CP as it will improve transparency and cost reflectivi</w:t>
      </w:r>
      <w:r w:rsidR="005F4FB9">
        <w:t>ty of charges associated with Smart Meter Communication Licence Costs. Networks incur the costs based on the number of MSMS customers which are connected to their networks and so recovering these costs via a dedicated fixed charge adder applied only to Aggregated Metered Demand tariffs improves cost reflectivity and reduces cross-subsidy between customer groups.</w:t>
      </w:r>
    </w:p>
    <w:p w14:paraId="155B1916" w14:textId="5D0BC359" w:rsidR="00944762" w:rsidRPr="009C18F0" w:rsidRDefault="00944762" w:rsidP="00114AC3">
      <w:pPr>
        <w:pStyle w:val="ListParagraph"/>
        <w:ind w:left="567"/>
        <w:jc w:val="both"/>
        <w:rPr>
          <w:b/>
          <w:bCs/>
          <w:i/>
          <w:iCs/>
        </w:rPr>
      </w:pPr>
      <w:r w:rsidRPr="009C18F0">
        <w:rPr>
          <w:b/>
          <w:bCs/>
          <w:i/>
          <w:iCs/>
        </w:rPr>
        <w:t xml:space="preserve">Question </w:t>
      </w:r>
      <w:r w:rsidR="009C18F0">
        <w:rPr>
          <w:b/>
          <w:bCs/>
          <w:i/>
          <w:iCs/>
        </w:rPr>
        <w:t>6</w:t>
      </w:r>
      <w:r w:rsidR="009C18F0" w:rsidRPr="009C18F0">
        <w:rPr>
          <w:b/>
          <w:bCs/>
          <w:i/>
          <w:iCs/>
        </w:rPr>
        <w:t xml:space="preserve">: </w:t>
      </w:r>
      <w:r w:rsidRPr="009C18F0">
        <w:rPr>
          <w:b/>
          <w:bCs/>
          <w:i/>
          <w:iCs/>
        </w:rPr>
        <w:t>Do you agree that the proposal better facilitates the DCUSA Charging Objectives? Please give supporting reasons either way</w:t>
      </w:r>
      <w:r w:rsidR="009C18F0" w:rsidRPr="009C18F0">
        <w:rPr>
          <w:b/>
          <w:bCs/>
          <w:i/>
          <w:iCs/>
        </w:rPr>
        <w:t xml:space="preserve"> against each objective</w:t>
      </w:r>
      <w:r w:rsidRPr="009C18F0">
        <w:rPr>
          <w:b/>
          <w:bCs/>
          <w:i/>
          <w:iCs/>
        </w:rPr>
        <w:t>.</w:t>
      </w:r>
    </w:p>
    <w:p w14:paraId="1FD3FDDE" w14:textId="3967A78F" w:rsidR="00BF295F" w:rsidRDefault="00DB6CD1" w:rsidP="00F40968">
      <w:pPr>
        <w:pStyle w:val="Heading1"/>
      </w:pPr>
      <w:bookmarkStart w:id="9" w:name="_Toc225238732"/>
      <w:r w:rsidRPr="00DB6CD1">
        <w:t>Impacts &amp; Other Considerations</w:t>
      </w:r>
      <w:bookmarkEnd w:id="9"/>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3FB73443" w:rsidR="004F54A9" w:rsidRDefault="00E764F3" w:rsidP="004F2CBF">
      <w:pPr>
        <w:pStyle w:val="ListParagraph"/>
        <w:numPr>
          <w:ilvl w:val="1"/>
          <w:numId w:val="2"/>
        </w:numPr>
      </w:pPr>
      <w:r>
        <w:t>None noted</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6D7A6931" w:rsidR="004F54A9" w:rsidRDefault="00E764F3" w:rsidP="004F2CBF">
      <w:pPr>
        <w:pStyle w:val="ListParagraph"/>
        <w:numPr>
          <w:ilvl w:val="1"/>
          <w:numId w:val="2"/>
        </w:numPr>
      </w:pPr>
      <w:r>
        <w:t>None noted</w:t>
      </w:r>
    </w:p>
    <w:p w14:paraId="07806C67" w14:textId="329F78D1" w:rsidR="004F54A9" w:rsidRPr="00F40968" w:rsidRDefault="00574CF4" w:rsidP="00574CF4">
      <w:pPr>
        <w:rPr>
          <w:b/>
          <w:bCs/>
          <w:color w:val="008576"/>
        </w:rPr>
      </w:pPr>
      <w:r w:rsidRPr="00F40968">
        <w:rPr>
          <w:b/>
          <w:bCs/>
          <w:color w:val="008576"/>
        </w:rPr>
        <w:t xml:space="preserve">Consumer Impacts </w:t>
      </w:r>
    </w:p>
    <w:p w14:paraId="57972CBB" w14:textId="77777777" w:rsidR="009C18F0" w:rsidRPr="002238FD" w:rsidRDefault="009C18F0" w:rsidP="009C18F0">
      <w:pPr>
        <w:jc w:val="both"/>
        <w:rPr>
          <w:b/>
          <w:bCs/>
        </w:rPr>
      </w:pPr>
      <w:r w:rsidRPr="002238FD">
        <w:rPr>
          <w:b/>
          <w:bCs/>
        </w:rPr>
        <w:t>Post Modelling potential impact on tariffs</w:t>
      </w:r>
    </w:p>
    <w:p w14:paraId="5D9BE5A9" w14:textId="77777777" w:rsidR="009C18F0" w:rsidRDefault="009C18F0" w:rsidP="009C18F0">
      <w:pPr>
        <w:pStyle w:val="ListParagraph"/>
        <w:numPr>
          <w:ilvl w:val="1"/>
          <w:numId w:val="2"/>
        </w:numPr>
        <w:jc w:val="both"/>
      </w:pPr>
      <w:r>
        <w:t>Distributors have created the CDCM models with the assumption of the increase in DCC costs 2027/28.</w:t>
      </w:r>
    </w:p>
    <w:p w14:paraId="40C67B88" w14:textId="77777777" w:rsidR="009C18F0" w:rsidRDefault="009C18F0" w:rsidP="009C18F0">
      <w:pPr>
        <w:pStyle w:val="ListParagraph"/>
        <w:numPr>
          <w:ilvl w:val="1"/>
          <w:numId w:val="2"/>
        </w:numPr>
        <w:jc w:val="both"/>
      </w:pPr>
      <w:r>
        <w:t xml:space="preserve">The Working Group ran through the models and have included examples of the impact on the tariffs and whether there is any interaction with the EHV Distribution Charge Model (EDCM) below: </w:t>
      </w:r>
    </w:p>
    <w:p w14:paraId="197DE2E8" w14:textId="77777777" w:rsidR="009C18F0" w:rsidRDefault="009C18F0" w:rsidP="009C18F0">
      <w:pPr>
        <w:pStyle w:val="ListParagraph"/>
        <w:ind w:left="567"/>
        <w:jc w:val="both"/>
        <w:rPr>
          <w:b/>
          <w:bCs/>
          <w:u w:val="single"/>
        </w:rPr>
      </w:pPr>
      <w:commentRangeStart w:id="10"/>
      <w:r w:rsidRPr="0067096D">
        <w:rPr>
          <w:b/>
          <w:bCs/>
          <w:highlight w:val="yellow"/>
          <w:u w:val="single"/>
        </w:rPr>
        <w:t>Impact Examples from Ryan and Lorna to be inclu</w:t>
      </w:r>
      <w:commentRangeEnd w:id="10"/>
      <w:r w:rsidRPr="0067096D">
        <w:rPr>
          <w:rStyle w:val="CommentReference"/>
          <w:b/>
          <w:bCs/>
          <w:sz w:val="20"/>
          <w:szCs w:val="22"/>
          <w:highlight w:val="yellow"/>
          <w:u w:val="single"/>
        </w:rPr>
        <w:commentReference w:id="10"/>
      </w:r>
      <w:r w:rsidRPr="0067096D">
        <w:rPr>
          <w:b/>
          <w:bCs/>
          <w:highlight w:val="yellow"/>
          <w:u w:val="single"/>
        </w:rPr>
        <w:t>ded here</w:t>
      </w:r>
      <w:r>
        <w:rPr>
          <w:b/>
          <w:bCs/>
          <w:u w:val="single"/>
        </w:rPr>
        <w:t xml:space="preserve"> </w:t>
      </w:r>
    </w:p>
    <w:p w14:paraId="0D76913C" w14:textId="77777777" w:rsidR="009C18F0" w:rsidRPr="00E46ECE" w:rsidRDefault="009C18F0" w:rsidP="009C18F0">
      <w:pPr>
        <w:pStyle w:val="ListParagraph"/>
        <w:ind w:left="567"/>
        <w:jc w:val="both"/>
        <w:rPr>
          <w:i/>
          <w:iCs/>
        </w:rPr>
      </w:pPr>
      <w:r w:rsidRPr="00E46ECE">
        <w:rPr>
          <w:b/>
          <w:bCs/>
          <w:i/>
          <w:iCs/>
        </w:rPr>
        <w:t xml:space="preserve">Question </w:t>
      </w:r>
      <w:r>
        <w:rPr>
          <w:b/>
          <w:bCs/>
          <w:i/>
          <w:iCs/>
        </w:rPr>
        <w:t>5</w:t>
      </w:r>
      <w:r w:rsidRPr="00E46ECE">
        <w:rPr>
          <w:b/>
          <w:bCs/>
          <w:i/>
          <w:iCs/>
        </w:rPr>
        <w:t>: Do you believe that the proposed tariff amendments are a true and accurate way of distributing the Smart Meter Communication Licence Costs or are there any other aspects within the tariffs that need to be covered?</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3F374B5C" w14:textId="139110FD" w:rsidR="004F54A9" w:rsidRDefault="00DD4B99" w:rsidP="004F2CBF">
      <w:pPr>
        <w:pStyle w:val="ListParagraph"/>
        <w:numPr>
          <w:ilvl w:val="1"/>
          <w:numId w:val="2"/>
        </w:numPr>
      </w:pPr>
      <w:r>
        <w:t>In accordance with DCUSA Clause 10.4</w:t>
      </w:r>
      <w:r w:rsidR="0043421E">
        <w:t>.5A, the Proposer assess whether there would be a material impact on greenhouse gas emissions if this CP were implemented and</w:t>
      </w:r>
      <w:r w:rsidR="00041590">
        <w:t xml:space="preserve"> it has been noted that there would not be any impacts.</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4AA648E1" w:rsidR="00BF295F" w:rsidRDefault="00041590" w:rsidP="00BF295F">
      <w:pPr>
        <w:pStyle w:val="ListParagraph"/>
        <w:numPr>
          <w:ilvl w:val="1"/>
          <w:numId w:val="2"/>
        </w:numPr>
      </w:pPr>
      <w:r>
        <w:t>N/A</w:t>
      </w:r>
    </w:p>
    <w:p w14:paraId="635AF98F" w14:textId="02CA1794" w:rsidR="00E307F0" w:rsidRPr="009C0456" w:rsidRDefault="00E307F0" w:rsidP="00041590">
      <w:pPr>
        <w:pStyle w:val="ListParagraph"/>
        <w:ind w:left="567"/>
        <w:rPr>
          <w:b/>
          <w:bCs/>
          <w:i/>
          <w:iCs/>
        </w:rPr>
      </w:pPr>
      <w:r w:rsidRPr="009C0456">
        <w:rPr>
          <w:b/>
          <w:bCs/>
          <w:i/>
          <w:iCs/>
        </w:rPr>
        <w:lastRenderedPageBreak/>
        <w:t xml:space="preserve">Question </w:t>
      </w:r>
      <w:r w:rsidR="009C0456" w:rsidRPr="009C0456">
        <w:rPr>
          <w:b/>
          <w:bCs/>
          <w:i/>
          <w:iCs/>
        </w:rPr>
        <w:t xml:space="preserve">6: </w:t>
      </w:r>
      <w:r w:rsidRPr="009C0456">
        <w:rPr>
          <w:b/>
          <w:bCs/>
          <w:i/>
          <w:iCs/>
        </w:rPr>
        <w:t>Are you aware of any wider industry developments that may impact upon or be impacted by this CP?</w:t>
      </w:r>
    </w:p>
    <w:p w14:paraId="002D05CF" w14:textId="3D40C4EA" w:rsidR="00BF295F" w:rsidRDefault="00DB6CD1" w:rsidP="00BF295F">
      <w:pPr>
        <w:pStyle w:val="Heading1"/>
      </w:pPr>
      <w:bookmarkStart w:id="11" w:name="_Toc225238733"/>
      <w:r>
        <w:t>Implementation</w:t>
      </w:r>
      <w:bookmarkEnd w:id="11"/>
    </w:p>
    <w:p w14:paraId="0387A4F7" w14:textId="4EE73796" w:rsidR="00BF295F" w:rsidRDefault="00EC3CE2" w:rsidP="009C18F0">
      <w:pPr>
        <w:pStyle w:val="ListParagraph"/>
        <w:numPr>
          <w:ilvl w:val="1"/>
          <w:numId w:val="2"/>
        </w:numPr>
        <w:jc w:val="both"/>
      </w:pPr>
      <w:r>
        <w:t>The Proposer consider</w:t>
      </w:r>
      <w:r w:rsidR="006C2F74">
        <w:t xml:space="preserve">s that this CP should be implemented after a minimum of 6 month following Authority Approval, so that changes are effective from </w:t>
      </w:r>
      <w:commentRangeStart w:id="12"/>
      <w:r w:rsidR="006C2F74">
        <w:t xml:space="preserve">either 2028/29 charge setting period, or 2029/30 </w:t>
      </w:r>
      <w:commentRangeEnd w:id="12"/>
      <w:r w:rsidR="009C0456">
        <w:rPr>
          <w:rStyle w:val="CommentReference"/>
          <w:sz w:val="20"/>
          <w:szCs w:val="22"/>
        </w:rPr>
        <w:commentReference w:id="12"/>
      </w:r>
      <w:r w:rsidR="006C2F74">
        <w:t>charge setting period.</w:t>
      </w:r>
    </w:p>
    <w:p w14:paraId="0B2C61C9" w14:textId="3692CF6C" w:rsidR="003B74B8" w:rsidRDefault="0015436E" w:rsidP="009C18F0">
      <w:pPr>
        <w:pStyle w:val="ListParagraph"/>
        <w:numPr>
          <w:ilvl w:val="1"/>
          <w:numId w:val="2"/>
        </w:numPr>
        <w:jc w:val="both"/>
      </w:pPr>
      <w:commentRangeStart w:id="13"/>
      <w:r>
        <w:t xml:space="preserve">It was noted by the Working Group that the implementation date was also </w:t>
      </w:r>
      <w:r w:rsidR="00B04327">
        <w:t xml:space="preserve">dependent on how far into the migration to smart meters the industry </w:t>
      </w:r>
      <w:r w:rsidR="003B74B8">
        <w:t>was</w:t>
      </w:r>
      <w:r w:rsidR="00B04327">
        <w:t xml:space="preserve"> currently in. It was confirmed that the </w:t>
      </w:r>
      <w:r w:rsidR="00675255">
        <w:t>revised completion date for smart meter roll out is the end of year 2030</w:t>
      </w:r>
      <w:r w:rsidR="003B74B8">
        <w:t xml:space="preserve">. The Government previously introduced, a four-year ‘Targets Framework’ from 2022 to end of 2025, under which energy suppliers were set annual smart meter installation targets. As of the end of September 2025, 70% of all meters are now smart or advance meters. </w:t>
      </w:r>
      <w:commentRangeEnd w:id="13"/>
      <w:r w:rsidR="009C0456">
        <w:rPr>
          <w:rStyle w:val="CommentReference"/>
          <w:sz w:val="20"/>
          <w:szCs w:val="22"/>
        </w:rPr>
        <w:commentReference w:id="13"/>
      </w:r>
    </w:p>
    <w:p w14:paraId="05D05A58" w14:textId="597897AA" w:rsidR="00BF295F" w:rsidRDefault="005E7EA6" w:rsidP="009C18F0">
      <w:pPr>
        <w:pStyle w:val="ListParagraph"/>
        <w:numPr>
          <w:ilvl w:val="1"/>
          <w:numId w:val="2"/>
        </w:numPr>
        <w:jc w:val="both"/>
      </w:pPr>
      <w:r>
        <w:t>If required, a derogation to the code could be implemented to amend published tariffs following implementation of this CP.</w:t>
      </w:r>
    </w:p>
    <w:p w14:paraId="4C2F2AFA" w14:textId="1DF8BB64" w:rsidR="005E7EA6" w:rsidRPr="005E7EA6" w:rsidRDefault="005E7EA6" w:rsidP="009C18F0">
      <w:pPr>
        <w:pStyle w:val="ListParagraph"/>
        <w:ind w:left="567"/>
        <w:jc w:val="both"/>
        <w:rPr>
          <w:i/>
          <w:iCs/>
        </w:rPr>
      </w:pPr>
      <w:r w:rsidRPr="009C0456">
        <w:rPr>
          <w:b/>
          <w:bCs/>
          <w:i/>
          <w:iCs/>
        </w:rPr>
        <w:t xml:space="preserve">Question </w:t>
      </w:r>
      <w:r w:rsidR="009C0456" w:rsidRPr="009C0456">
        <w:rPr>
          <w:b/>
          <w:bCs/>
          <w:i/>
          <w:iCs/>
        </w:rPr>
        <w:t>7:</w:t>
      </w:r>
      <w:r w:rsidR="009C0456">
        <w:rPr>
          <w:b/>
          <w:bCs/>
        </w:rPr>
        <w:t xml:space="preserve"> </w:t>
      </w:r>
      <w:r w:rsidRPr="009C0456">
        <w:rPr>
          <w:b/>
          <w:bCs/>
          <w:i/>
          <w:iCs/>
        </w:rPr>
        <w:t>Do you agree with the proposed implementation date for this CP and which of the charge setting periods would be most suitable?</w:t>
      </w:r>
    </w:p>
    <w:p w14:paraId="6D91772E" w14:textId="2BD49167" w:rsidR="00BF295F" w:rsidRDefault="00DB6CD1" w:rsidP="00BF295F">
      <w:pPr>
        <w:pStyle w:val="Heading1"/>
      </w:pPr>
      <w:bookmarkStart w:id="14" w:name="_Toc225238734"/>
      <w:r>
        <w:t>Legal Text</w:t>
      </w:r>
      <w:bookmarkEnd w:id="14"/>
    </w:p>
    <w:p w14:paraId="00961D72" w14:textId="386EB479" w:rsidR="00BF295F" w:rsidRDefault="0061419A" w:rsidP="00BF295F">
      <w:pPr>
        <w:pStyle w:val="ListParagraph"/>
        <w:numPr>
          <w:ilvl w:val="1"/>
          <w:numId w:val="2"/>
        </w:numPr>
      </w:pPr>
      <w:r>
        <w:t xml:space="preserve">The proposed legal text </w:t>
      </w:r>
      <w:r w:rsidR="009C0456">
        <w:t xml:space="preserve">is added to </w:t>
      </w:r>
      <w:r>
        <w:t xml:space="preserve">Step 5 drafting </w:t>
      </w:r>
      <w:r w:rsidR="009C0456">
        <w:t xml:space="preserve">of the CDCM </w:t>
      </w:r>
      <w:r>
        <w:t>used for Supplier of Last Resort and Eligible Bad Debt pass-through costs. Related MPANs are</w:t>
      </w:r>
      <w:r w:rsidR="009C0456">
        <w:t xml:space="preserve"> not</w:t>
      </w:r>
      <w:r>
        <w:t xml:space="preserve"> included in the current version of the legal text as it is assumed they are the driver of Smart Meter Communication </w:t>
      </w:r>
      <w:r w:rsidR="003002BE">
        <w:t>Licence</w:t>
      </w:r>
      <w:r w:rsidR="00A9204D">
        <w:t xml:space="preserve"> </w:t>
      </w:r>
      <w:r>
        <w:t>costs, however, this can be amended following industry discussions.</w:t>
      </w:r>
    </w:p>
    <w:p w14:paraId="658152E2" w14:textId="2B608FD1" w:rsidR="00BF295F" w:rsidRDefault="00E46C6A" w:rsidP="00BF295F">
      <w:pPr>
        <w:pStyle w:val="ListParagraph"/>
        <w:numPr>
          <w:ilvl w:val="1"/>
          <w:numId w:val="2"/>
        </w:numPr>
      </w:pPr>
      <w:r>
        <w:t xml:space="preserve">As the CP introduces a new category of pass-through costs within Step 5, the Proposer considers it clearer to insert a new paragraph 104 and renumber the subsequent paragraphs, rather than inserting additional sub-paragraphs into existing paragraphs. </w:t>
      </w:r>
      <w:r w:rsidR="009C0456">
        <w:t>There is only one impacted paragraph since subsequent ones are not used and this is unlikely to produce a cross referencing concern.</w:t>
      </w:r>
    </w:p>
    <w:p w14:paraId="2D5582B1" w14:textId="77D97D46" w:rsidR="00BF295F" w:rsidRDefault="00D65122" w:rsidP="00BF295F">
      <w:pPr>
        <w:pStyle w:val="ListParagraph"/>
        <w:numPr>
          <w:ilvl w:val="1"/>
          <w:numId w:val="2"/>
        </w:numPr>
      </w:pPr>
      <w:r>
        <w:t xml:space="preserve">The detailed legal text amendments are provided in full within </w:t>
      </w:r>
      <w:commentRangeStart w:id="15"/>
      <w:r>
        <w:t xml:space="preserve">Attachment </w:t>
      </w:r>
      <w:r w:rsidRPr="009C0456">
        <w:rPr>
          <w:highlight w:val="yellow"/>
        </w:rPr>
        <w:t>1</w:t>
      </w:r>
      <w:commentRangeEnd w:id="15"/>
      <w:r w:rsidR="009C0456" w:rsidRPr="009C0456">
        <w:rPr>
          <w:rStyle w:val="CommentReference"/>
          <w:sz w:val="20"/>
          <w:szCs w:val="22"/>
          <w:highlight w:val="yellow"/>
        </w:rPr>
        <w:commentReference w:id="15"/>
      </w:r>
      <w:r w:rsidRPr="009C0456">
        <w:rPr>
          <w:highlight w:val="yellow"/>
        </w:rPr>
        <w:t>.</w:t>
      </w:r>
    </w:p>
    <w:p w14:paraId="6FAE5930" w14:textId="31F25A22" w:rsidR="00D65122" w:rsidRPr="009C0456" w:rsidRDefault="00D65122" w:rsidP="00D65122">
      <w:pPr>
        <w:pStyle w:val="ListParagraph"/>
        <w:ind w:left="567"/>
        <w:rPr>
          <w:b/>
          <w:bCs/>
          <w:i/>
          <w:iCs/>
        </w:rPr>
      </w:pPr>
      <w:r w:rsidRPr="009C0456">
        <w:rPr>
          <w:b/>
          <w:bCs/>
          <w:i/>
          <w:iCs/>
        </w:rPr>
        <w:t xml:space="preserve">Question </w:t>
      </w:r>
      <w:r w:rsidR="009C0456">
        <w:rPr>
          <w:b/>
          <w:bCs/>
          <w:i/>
          <w:iCs/>
        </w:rPr>
        <w:t>8</w:t>
      </w:r>
      <w:r w:rsidR="009C0456" w:rsidRPr="009C0456">
        <w:rPr>
          <w:b/>
          <w:bCs/>
          <w:i/>
          <w:iCs/>
        </w:rPr>
        <w:t>:</w:t>
      </w:r>
      <w:r w:rsidR="009C0456">
        <w:rPr>
          <w:b/>
          <w:bCs/>
          <w:i/>
          <w:iCs/>
        </w:rPr>
        <w:t xml:space="preserve"> </w:t>
      </w:r>
      <w:r w:rsidRPr="009C0456">
        <w:rPr>
          <w:b/>
          <w:bCs/>
          <w:i/>
          <w:iCs/>
        </w:rPr>
        <w:t>Do you have any comments on the draft legal text?</w:t>
      </w:r>
    </w:p>
    <w:p w14:paraId="00941F67" w14:textId="4790F223" w:rsidR="00BF295F" w:rsidRDefault="00DB6CD1" w:rsidP="00BF295F">
      <w:pPr>
        <w:pStyle w:val="Heading1"/>
      </w:pPr>
      <w:bookmarkStart w:id="16" w:name="_Toc225238735"/>
      <w:r>
        <w:t>Consultation Questions</w:t>
      </w:r>
      <w:bookmarkEnd w:id="16"/>
    </w:p>
    <w:p w14:paraId="6EA7AFAD" w14:textId="457067E8" w:rsidR="001A4F40" w:rsidRPr="001A4F40" w:rsidRDefault="001A4F40" w:rsidP="001A4F40">
      <w:pPr>
        <w:pStyle w:val="ListParagraph"/>
        <w:numPr>
          <w:ilvl w:val="1"/>
          <w:numId w:val="2"/>
        </w:numPr>
      </w:pPr>
      <w:commentRangeStart w:id="17"/>
      <w:r>
        <w:t xml:space="preserve">The </w:t>
      </w:r>
      <w:r w:rsidRPr="001A4F40">
        <w:t>Working Group is seeking industry views on the following consultation questions</w:t>
      </w:r>
      <w:commentRangeEnd w:id="17"/>
      <w:r w:rsidR="00975D4C" w:rsidRPr="001A4F40">
        <w:rPr>
          <w:rStyle w:val="CommentReference"/>
          <w:sz w:val="20"/>
          <w:szCs w:val="22"/>
        </w:rPr>
        <w:commentReference w:id="17"/>
      </w:r>
      <w:r w:rsidRPr="001A4F40">
        <w:t>:</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807509" w14:paraId="74CC8ADD" w14:textId="77777777" w:rsidTr="00D1247E">
        <w:tc>
          <w:tcPr>
            <w:tcW w:w="1129" w:type="dxa"/>
            <w:shd w:val="clear" w:color="auto" w:fill="BDD6EE"/>
          </w:tcPr>
          <w:p w14:paraId="5083C0D9" w14:textId="6C85C693" w:rsidR="00807509" w:rsidRPr="00D1247E" w:rsidRDefault="00807509" w:rsidP="00783B7B">
            <w:pPr>
              <w:rPr>
                <w:b/>
                <w:bCs/>
                <w:sz w:val="22"/>
                <w:szCs w:val="24"/>
              </w:rPr>
            </w:pPr>
            <w:r w:rsidRPr="00D1247E">
              <w:rPr>
                <w:b/>
                <w:bCs/>
                <w:sz w:val="22"/>
                <w:szCs w:val="24"/>
              </w:rPr>
              <w:t>No.</w:t>
            </w:r>
          </w:p>
        </w:tc>
        <w:tc>
          <w:tcPr>
            <w:tcW w:w="8499" w:type="dxa"/>
            <w:shd w:val="clear" w:color="auto" w:fill="BDD6EE"/>
          </w:tcPr>
          <w:p w14:paraId="698A2C26" w14:textId="55E485F7" w:rsidR="00807509" w:rsidRPr="00D1247E" w:rsidRDefault="00807509" w:rsidP="00807509">
            <w:pPr>
              <w:rPr>
                <w:b/>
                <w:bCs/>
                <w:sz w:val="22"/>
                <w:szCs w:val="24"/>
              </w:rPr>
            </w:pPr>
            <w:r w:rsidRPr="00D1247E">
              <w:rPr>
                <w:b/>
                <w:bCs/>
                <w:sz w:val="22"/>
                <w:szCs w:val="24"/>
              </w:rPr>
              <w:t>Question</w:t>
            </w:r>
          </w:p>
        </w:tc>
      </w:tr>
      <w:tr w:rsidR="00807509" w14:paraId="67CDA7F4" w14:textId="77777777" w:rsidTr="00D1247E">
        <w:tc>
          <w:tcPr>
            <w:tcW w:w="1129" w:type="dxa"/>
          </w:tcPr>
          <w:p w14:paraId="0CC8B57E" w14:textId="77777777" w:rsidR="00807509" w:rsidRDefault="00807509" w:rsidP="00783B7B">
            <w:pPr>
              <w:pStyle w:val="ListParagraph"/>
              <w:numPr>
                <w:ilvl w:val="0"/>
                <w:numId w:val="5"/>
              </w:numPr>
              <w:jc w:val="center"/>
            </w:pPr>
          </w:p>
        </w:tc>
        <w:tc>
          <w:tcPr>
            <w:tcW w:w="8499" w:type="dxa"/>
          </w:tcPr>
          <w:p w14:paraId="0AE755A7" w14:textId="77777777" w:rsidR="00807509" w:rsidRDefault="00807509" w:rsidP="00807509"/>
        </w:tc>
      </w:tr>
      <w:tr w:rsidR="00D1247E" w14:paraId="49333AE4" w14:textId="77777777" w:rsidTr="00D1247E">
        <w:tc>
          <w:tcPr>
            <w:tcW w:w="1129" w:type="dxa"/>
          </w:tcPr>
          <w:p w14:paraId="2DBD868C" w14:textId="77777777" w:rsidR="00D1247E" w:rsidRDefault="00D1247E" w:rsidP="00783B7B">
            <w:pPr>
              <w:pStyle w:val="ListParagraph"/>
              <w:numPr>
                <w:ilvl w:val="0"/>
                <w:numId w:val="5"/>
              </w:numPr>
              <w:jc w:val="center"/>
            </w:pPr>
          </w:p>
        </w:tc>
        <w:tc>
          <w:tcPr>
            <w:tcW w:w="8499" w:type="dxa"/>
          </w:tcPr>
          <w:p w14:paraId="5ADF725D" w14:textId="77777777" w:rsidR="00D1247E" w:rsidRDefault="00D1247E" w:rsidP="00807509"/>
        </w:tc>
      </w:tr>
      <w:tr w:rsidR="00D1247E" w14:paraId="612B9A0D" w14:textId="77777777" w:rsidTr="00D1247E">
        <w:tc>
          <w:tcPr>
            <w:tcW w:w="1129" w:type="dxa"/>
          </w:tcPr>
          <w:p w14:paraId="114CA166" w14:textId="77777777" w:rsidR="00D1247E" w:rsidRDefault="00D1247E" w:rsidP="00783B7B">
            <w:pPr>
              <w:pStyle w:val="ListParagraph"/>
              <w:numPr>
                <w:ilvl w:val="0"/>
                <w:numId w:val="5"/>
              </w:numPr>
              <w:jc w:val="center"/>
            </w:pPr>
          </w:p>
        </w:tc>
        <w:tc>
          <w:tcPr>
            <w:tcW w:w="8499" w:type="dxa"/>
          </w:tcPr>
          <w:p w14:paraId="43D86F1E" w14:textId="77777777" w:rsidR="00D1247E" w:rsidRDefault="00D1247E" w:rsidP="00807509"/>
        </w:tc>
      </w:tr>
      <w:tr w:rsidR="00D1247E" w14:paraId="5E19110E" w14:textId="77777777" w:rsidTr="00D1247E">
        <w:tc>
          <w:tcPr>
            <w:tcW w:w="1129" w:type="dxa"/>
          </w:tcPr>
          <w:p w14:paraId="38A04E70" w14:textId="77777777" w:rsidR="00D1247E" w:rsidRDefault="00D1247E" w:rsidP="00783B7B">
            <w:pPr>
              <w:pStyle w:val="ListParagraph"/>
              <w:numPr>
                <w:ilvl w:val="0"/>
                <w:numId w:val="5"/>
              </w:numPr>
              <w:jc w:val="center"/>
            </w:pPr>
          </w:p>
        </w:tc>
        <w:tc>
          <w:tcPr>
            <w:tcW w:w="8499" w:type="dxa"/>
          </w:tcPr>
          <w:p w14:paraId="78EE03EA" w14:textId="77777777" w:rsidR="00D1247E" w:rsidRDefault="00D1247E" w:rsidP="00807509"/>
        </w:tc>
      </w:tr>
      <w:tr w:rsidR="00D1247E" w14:paraId="2C273BF1" w14:textId="77777777" w:rsidTr="00D1247E">
        <w:tc>
          <w:tcPr>
            <w:tcW w:w="1129" w:type="dxa"/>
          </w:tcPr>
          <w:p w14:paraId="620739C8" w14:textId="77777777" w:rsidR="00D1247E" w:rsidRDefault="00D1247E" w:rsidP="00783B7B">
            <w:pPr>
              <w:pStyle w:val="ListParagraph"/>
              <w:numPr>
                <w:ilvl w:val="0"/>
                <w:numId w:val="5"/>
              </w:numPr>
              <w:jc w:val="center"/>
            </w:pPr>
          </w:p>
        </w:tc>
        <w:tc>
          <w:tcPr>
            <w:tcW w:w="8499" w:type="dxa"/>
          </w:tcPr>
          <w:p w14:paraId="4A409F2C" w14:textId="77777777" w:rsidR="00D1247E" w:rsidRDefault="00D1247E" w:rsidP="00807509"/>
        </w:tc>
      </w:tr>
      <w:tr w:rsidR="00D1247E" w14:paraId="60CFA49B" w14:textId="77777777" w:rsidTr="00D1247E">
        <w:tc>
          <w:tcPr>
            <w:tcW w:w="1129" w:type="dxa"/>
          </w:tcPr>
          <w:p w14:paraId="7B70DEFB" w14:textId="77777777" w:rsidR="00D1247E" w:rsidRDefault="00D1247E" w:rsidP="00783B7B">
            <w:pPr>
              <w:pStyle w:val="ListParagraph"/>
              <w:numPr>
                <w:ilvl w:val="0"/>
                <w:numId w:val="5"/>
              </w:numPr>
              <w:jc w:val="center"/>
            </w:pPr>
          </w:p>
        </w:tc>
        <w:tc>
          <w:tcPr>
            <w:tcW w:w="8499" w:type="dxa"/>
          </w:tcPr>
          <w:p w14:paraId="34274004" w14:textId="77777777" w:rsidR="00D1247E" w:rsidRDefault="00D1247E" w:rsidP="00807509"/>
        </w:tc>
      </w:tr>
      <w:tr w:rsidR="00D1247E" w14:paraId="7EFECBC6" w14:textId="77777777" w:rsidTr="00D1247E">
        <w:tc>
          <w:tcPr>
            <w:tcW w:w="1129" w:type="dxa"/>
          </w:tcPr>
          <w:p w14:paraId="42B1EC53" w14:textId="77777777" w:rsidR="00D1247E" w:rsidRDefault="00D1247E" w:rsidP="00783B7B">
            <w:pPr>
              <w:pStyle w:val="ListParagraph"/>
              <w:numPr>
                <w:ilvl w:val="0"/>
                <w:numId w:val="5"/>
              </w:numPr>
              <w:jc w:val="center"/>
            </w:pPr>
          </w:p>
        </w:tc>
        <w:tc>
          <w:tcPr>
            <w:tcW w:w="8499" w:type="dxa"/>
          </w:tcPr>
          <w:p w14:paraId="3EC3F79B" w14:textId="77777777" w:rsidR="00D1247E" w:rsidRDefault="00D1247E" w:rsidP="00807509"/>
        </w:tc>
      </w:tr>
      <w:tr w:rsidR="00D1247E" w14:paraId="4A883099" w14:textId="77777777" w:rsidTr="00D1247E">
        <w:tc>
          <w:tcPr>
            <w:tcW w:w="1129" w:type="dxa"/>
          </w:tcPr>
          <w:p w14:paraId="52E7BE16" w14:textId="77777777" w:rsidR="00D1247E" w:rsidRDefault="00D1247E" w:rsidP="00783B7B">
            <w:pPr>
              <w:pStyle w:val="ListParagraph"/>
              <w:numPr>
                <w:ilvl w:val="0"/>
                <w:numId w:val="5"/>
              </w:numPr>
              <w:jc w:val="center"/>
            </w:pPr>
          </w:p>
        </w:tc>
        <w:tc>
          <w:tcPr>
            <w:tcW w:w="8499" w:type="dxa"/>
          </w:tcPr>
          <w:p w14:paraId="1F744502" w14:textId="77777777" w:rsidR="00D1247E" w:rsidRDefault="00D1247E" w:rsidP="00807509"/>
        </w:tc>
      </w:tr>
    </w:tbl>
    <w:p w14:paraId="49B02BD3" w14:textId="6851BA8D" w:rsidR="00BF295F" w:rsidRDefault="00BF295F" w:rsidP="00705BEE"/>
    <w:p w14:paraId="3052B4A4" w14:textId="16CCCE84" w:rsidR="00BF295F" w:rsidRDefault="00DB6CD1" w:rsidP="00BF295F">
      <w:pPr>
        <w:pStyle w:val="Heading1"/>
      </w:pPr>
      <w:bookmarkStart w:id="18" w:name="_Toc225238736"/>
      <w:r>
        <w:lastRenderedPageBreak/>
        <w:t>Attachments</w:t>
      </w:r>
      <w:bookmarkEnd w:id="18"/>
    </w:p>
    <w:p w14:paraId="6FE8D755" w14:textId="4451DBCF" w:rsidR="00BF295F" w:rsidRDefault="00BF295F" w:rsidP="00BF295F">
      <w:pPr>
        <w:pStyle w:val="ListParagraph"/>
        <w:numPr>
          <w:ilvl w:val="1"/>
          <w:numId w:val="2"/>
        </w:numPr>
      </w:pPr>
    </w:p>
    <w:p w14:paraId="56558F44" w14:textId="10E7233D" w:rsidR="00BF295F" w:rsidRDefault="00BF295F" w:rsidP="00BF295F">
      <w:pPr>
        <w:pStyle w:val="ListParagraph"/>
        <w:numPr>
          <w:ilvl w:val="1"/>
          <w:numId w:val="2"/>
        </w:numPr>
      </w:pPr>
    </w:p>
    <w:p w14:paraId="2B660004" w14:textId="7F2BC547" w:rsidR="00BF295F" w:rsidRDefault="00BF295F" w:rsidP="00BF295F">
      <w:pPr>
        <w:pStyle w:val="ListParagraph"/>
        <w:numPr>
          <w:ilvl w:val="1"/>
          <w:numId w:val="2"/>
        </w:numPr>
      </w:pPr>
    </w:p>
    <w:p w14:paraId="791CEF56" w14:textId="77777777" w:rsidR="00BF295F" w:rsidRDefault="00BF295F" w:rsidP="00BF295F"/>
    <w:sectPr w:rsidR="00BF295F" w:rsidSect="00A46135">
      <w:headerReference w:type="default" r:id="rId25"/>
      <w:footerReference w:type="default" r:id="rId26"/>
      <w:headerReference w:type="first" r:id="rId27"/>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Lawton" w:date="2026-06-18T08:56:00Z" w:initials="JL">
    <w:p w14:paraId="27F98129" w14:textId="77777777" w:rsidR="0097261A" w:rsidRDefault="0097261A" w:rsidP="0097261A">
      <w:pPr>
        <w:pStyle w:val="CommentText"/>
      </w:pPr>
      <w:r>
        <w:rPr>
          <w:rStyle w:val="CommentReference"/>
        </w:rPr>
        <w:annotationRef/>
      </w:r>
      <w:r>
        <w:t>There is a reference to the Smart Meter Communication Licencee Costs in the schedule. Is the location in the table is correct?</w:t>
      </w:r>
    </w:p>
  </w:comment>
  <w:comment w:id="1" w:author="Hollie Wild" w:date="2026-06-15T13:32:00Z" w:initials="HW">
    <w:p w14:paraId="2B7E628C" w14:textId="77777777" w:rsidR="0070171B" w:rsidRDefault="0070171B" w:rsidP="0070171B">
      <w:pPr>
        <w:pStyle w:val="CommentText"/>
      </w:pPr>
      <w:r>
        <w:rPr>
          <w:rStyle w:val="CommentReference"/>
        </w:rPr>
        <w:annotationRef/>
      </w:r>
      <w:r>
        <w:t>Will update once we are aware of when the consultation will be being issued to Parties</w:t>
      </w:r>
    </w:p>
  </w:comment>
  <w:comment w:id="6" w:author="Hollie Wild" w:date="2026-06-15T11:48:00Z" w:initials="HW">
    <w:p w14:paraId="090EE309" w14:textId="77777777" w:rsidR="00BC51CB" w:rsidRDefault="00F91C51" w:rsidP="00BC51CB">
      <w:pPr>
        <w:pStyle w:val="CommentText"/>
      </w:pPr>
      <w:r>
        <w:rPr>
          <w:rStyle w:val="CommentReference"/>
        </w:rPr>
        <w:annotationRef/>
      </w:r>
      <w:r w:rsidR="00BC51CB">
        <w:t>I will update this depending on attendance at the next meeting</w:t>
      </w:r>
    </w:p>
  </w:comment>
  <w:comment w:id="7" w:author="John Lawton" w:date="2026-06-18T10:17:00Z" w:initials="JL">
    <w:p w14:paraId="1EEEBFA8" w14:textId="77777777" w:rsidR="00E46ECE" w:rsidRDefault="00E46ECE" w:rsidP="00E46ECE">
      <w:pPr>
        <w:pStyle w:val="CommentText"/>
      </w:pPr>
      <w:r>
        <w:rPr>
          <w:rStyle w:val="CommentReference"/>
        </w:rPr>
        <w:annotationRef/>
      </w:r>
      <w:r>
        <w:t>We need to add the ENA discussions and/or reference documents.</w:t>
      </w:r>
    </w:p>
    <w:p w14:paraId="56E7C773" w14:textId="77777777" w:rsidR="00E46ECE" w:rsidRDefault="00E46ECE" w:rsidP="00E46ECE">
      <w:pPr>
        <w:pStyle w:val="CommentText"/>
      </w:pPr>
      <w:r>
        <w:t>Clarify under what governance such a change has gone through.</w:t>
      </w:r>
    </w:p>
  </w:comment>
  <w:comment w:id="10" w:author="John Lawton" w:date="2026-06-18T10:20:00Z" w:initials="JL">
    <w:p w14:paraId="18AE720E" w14:textId="77777777" w:rsidR="009C18F0" w:rsidRDefault="009C18F0" w:rsidP="00E46ECE">
      <w:pPr>
        <w:pStyle w:val="CommentText"/>
      </w:pPr>
      <w:r>
        <w:rPr>
          <w:rStyle w:val="CommentReference"/>
        </w:rPr>
        <w:annotationRef/>
      </w:r>
      <w:r>
        <w:t>We need to script here has to where the change has been populated and how that relates to this change. Is it in the bad debt cell or Solar cell and any other amendments made to match the proposed legal text together with the fact that actual modelling will only take place at the time of the final solution and an updated impact being given at the change report stage</w:t>
      </w:r>
    </w:p>
  </w:comment>
  <w:comment w:id="12" w:author="John Lawton" w:date="2026-06-18T11:26:00Z" w:initials="JL">
    <w:p w14:paraId="19A30925" w14:textId="77777777" w:rsidR="009C0456" w:rsidRDefault="009C0456" w:rsidP="009C0456">
      <w:pPr>
        <w:pStyle w:val="CommentText"/>
      </w:pPr>
      <w:r>
        <w:rPr>
          <w:rStyle w:val="CommentReference"/>
        </w:rPr>
        <w:annotationRef/>
      </w:r>
      <w:r>
        <w:t>Based on DCUSA timelines would the first one be difficult to achieve. Wouldn’t this have to be approved by September this year?</w:t>
      </w:r>
    </w:p>
  </w:comment>
  <w:comment w:id="13" w:author="John Lawton" w:date="2026-06-18T11:28:00Z" w:initials="JL">
    <w:p w14:paraId="7581EE5D" w14:textId="77777777" w:rsidR="009C0456" w:rsidRDefault="009C0456" w:rsidP="009C0456">
      <w:pPr>
        <w:pStyle w:val="CommentText"/>
      </w:pPr>
      <w:r>
        <w:rPr>
          <w:rStyle w:val="CommentReference"/>
        </w:rPr>
        <w:annotationRef/>
      </w:r>
      <w:r>
        <w:t xml:space="preserve">Do we want this here or earlier and visa versa with para 4.7 </w:t>
      </w:r>
    </w:p>
  </w:comment>
  <w:comment w:id="15" w:author="John Lawton" w:date="2026-06-18T11:36:00Z" w:initials="JL">
    <w:p w14:paraId="3978A743" w14:textId="77777777" w:rsidR="009C0456" w:rsidRDefault="009C0456" w:rsidP="009C0456">
      <w:pPr>
        <w:pStyle w:val="CommentText"/>
      </w:pPr>
      <w:r>
        <w:rPr>
          <w:rStyle w:val="CommentReference"/>
        </w:rPr>
        <w:annotationRef/>
      </w:r>
      <w:r>
        <w:t>We may need to check this number. I suspect attachment 1 may be the change proposal</w:t>
      </w:r>
    </w:p>
  </w:comment>
  <w:comment w:id="17" w:author="Hollie Wild" w:date="2026-06-15T14:43:00Z" w:initials="HW">
    <w:p w14:paraId="41D6DE74" w14:textId="77777777" w:rsidR="00975D4C" w:rsidRDefault="00975D4C" w:rsidP="00975D4C">
      <w:pPr>
        <w:pStyle w:val="CommentText"/>
      </w:pPr>
      <w:r>
        <w:rPr>
          <w:rStyle w:val="CommentReference"/>
        </w:rPr>
        <w:annotationRef/>
      </w:r>
      <w:r>
        <w:t>Will update this section once all of the questions have been identified in the body of the consultation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F98129" w15:done="0"/>
  <w15:commentEx w15:paraId="2B7E628C" w15:done="0"/>
  <w15:commentEx w15:paraId="090EE309" w15:done="0"/>
  <w15:commentEx w15:paraId="56E7C773" w15:done="0"/>
  <w15:commentEx w15:paraId="18AE720E" w15:done="0"/>
  <w15:commentEx w15:paraId="19A30925" w15:done="0"/>
  <w15:commentEx w15:paraId="7581EE5D" w15:done="0"/>
  <w15:commentEx w15:paraId="3978A743" w15:done="0"/>
  <w15:commentEx w15:paraId="41D6D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F98738" w16cex:dateUtc="2026-06-18T07:56:00Z"/>
  <w16cex:commentExtensible w16cex:durableId="714C05FC" w16cex:dateUtc="2026-06-15T12:32:00Z"/>
  <w16cex:commentExtensible w16cex:durableId="71F392D1" w16cex:dateUtc="2026-06-15T10:48:00Z"/>
  <w16cex:commentExtensible w16cex:durableId="696D3F85" w16cex:dateUtc="2026-06-18T09:17:00Z"/>
  <w16cex:commentExtensible w16cex:durableId="0D0064AE" w16cex:dateUtc="2026-06-18T09:20:00Z"/>
  <w16cex:commentExtensible w16cex:durableId="65C2E950" w16cex:dateUtc="2026-06-18T10:26:00Z"/>
  <w16cex:commentExtensible w16cex:durableId="24308A79" w16cex:dateUtc="2026-06-18T10:28:00Z"/>
  <w16cex:commentExtensible w16cex:durableId="4F8ED43B" w16cex:dateUtc="2026-06-18T10:36:00Z"/>
  <w16cex:commentExtensible w16cex:durableId="324EAFE8" w16cex:dateUtc="2026-06-15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F98129" w16cid:durableId="03F98738"/>
  <w16cid:commentId w16cid:paraId="2B7E628C" w16cid:durableId="714C05FC"/>
  <w16cid:commentId w16cid:paraId="090EE309" w16cid:durableId="71F392D1"/>
  <w16cid:commentId w16cid:paraId="56E7C773" w16cid:durableId="696D3F85"/>
  <w16cid:commentId w16cid:paraId="18AE720E" w16cid:durableId="0D0064AE"/>
  <w16cid:commentId w16cid:paraId="19A30925" w16cid:durableId="65C2E950"/>
  <w16cid:commentId w16cid:paraId="7581EE5D" w16cid:durableId="24308A79"/>
  <w16cid:commentId w16cid:paraId="3978A743" w16cid:durableId="4F8ED43B"/>
  <w16cid:commentId w16cid:paraId="41D6DE74" w16cid:durableId="324EA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515E5" w14:textId="77777777" w:rsidR="00FE6851" w:rsidRDefault="00FE6851" w:rsidP="00A46135">
      <w:pPr>
        <w:spacing w:after="0" w:line="240" w:lineRule="auto"/>
      </w:pPr>
      <w:r>
        <w:separator/>
      </w:r>
    </w:p>
  </w:endnote>
  <w:endnote w:type="continuationSeparator" w:id="0">
    <w:p w14:paraId="6E44A856" w14:textId="77777777" w:rsidR="00FE6851" w:rsidRDefault="00FE6851"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B46E" w14:textId="77777777" w:rsidR="00FE6851" w:rsidRDefault="00FE6851" w:rsidP="00A46135">
      <w:pPr>
        <w:spacing w:after="0" w:line="240" w:lineRule="auto"/>
      </w:pPr>
      <w:r>
        <w:separator/>
      </w:r>
    </w:p>
  </w:footnote>
  <w:footnote w:type="continuationSeparator" w:id="0">
    <w:p w14:paraId="2794DE3E" w14:textId="77777777" w:rsidR="00FE6851" w:rsidRDefault="00FE6851" w:rsidP="00A46135">
      <w:pPr>
        <w:spacing w:after="0" w:line="240" w:lineRule="auto"/>
      </w:pPr>
      <w:r>
        <w:continuationSeparator/>
      </w:r>
    </w:p>
  </w:footnote>
  <w:footnote w:id="1">
    <w:p w14:paraId="019DB215" w14:textId="77777777" w:rsidR="00A61EAD" w:rsidRDefault="00A61EAD" w:rsidP="00A61EAD">
      <w:pPr>
        <w:pStyle w:val="FootnoteText"/>
      </w:pPr>
      <w:r>
        <w:rPr>
          <w:rStyle w:val="FootnoteReference"/>
        </w:rPr>
        <w:footnoteRef/>
      </w:r>
      <w:r>
        <w:t xml:space="preserve"> </w:t>
      </w:r>
      <w:hyperlink r:id="rId1" w:history="1">
        <w:r w:rsidRPr="00D23C64">
          <w:rPr>
            <w:rStyle w:val="Hyperlink"/>
          </w:rPr>
          <w:t>Smart metering policy framework post 2025: government response</w:t>
        </w:r>
      </w:hyperlink>
    </w:p>
  </w:footnote>
  <w:footnote w:id="2">
    <w:p w14:paraId="2B04D2A7" w14:textId="06A2E2A0" w:rsidR="00A61EAD" w:rsidRDefault="00A61EAD">
      <w:pPr>
        <w:pStyle w:val="FootnoteText"/>
      </w:pPr>
      <w:r>
        <w:rPr>
          <w:rStyle w:val="FootnoteReference"/>
        </w:rPr>
        <w:footnoteRef/>
      </w:r>
      <w:r>
        <w:t xml:space="preserve"> </w:t>
      </w:r>
      <w:hyperlink r:id="rId2" w:history="1">
        <w:r w:rsidRPr="00A61EAD">
          <w:rPr>
            <w:rStyle w:val="Hyperlink"/>
          </w:rPr>
          <w:t>Smart meters in Great Britain, quarterly update March 2026 - 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60"/>
    <w:multiLevelType w:val="multilevel"/>
    <w:tmpl w:val="7CC8A70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1"/>
  </w:num>
  <w:num w:numId="2" w16cid:durableId="439377418">
    <w:abstractNumId w:val="4"/>
  </w:num>
  <w:num w:numId="3" w16cid:durableId="1580410541">
    <w:abstractNumId w:val="2"/>
  </w:num>
  <w:num w:numId="4" w16cid:durableId="91259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3"/>
  </w:num>
  <w:num w:numId="6" w16cid:durableId="1046106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awton">
    <w15:presenceInfo w15:providerId="AD" w15:userId="S::LawtonJ@electralink.co.uk::a094801b-d55f-44ae-9f0c-e4b013632d72"/>
  </w15:person>
  <w15:person w15:author="Hollie Wild">
    <w15:presenceInfo w15:providerId="AD" w15:userId="S::Hollie.Wild@electralink.co.uk::899f8897-92ce-4fb0-b0ea-db203a428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030E2"/>
    <w:rsid w:val="00022D19"/>
    <w:rsid w:val="00024622"/>
    <w:rsid w:val="00026FE6"/>
    <w:rsid w:val="00037E1C"/>
    <w:rsid w:val="00041590"/>
    <w:rsid w:val="00046030"/>
    <w:rsid w:val="00050BBF"/>
    <w:rsid w:val="00096F2C"/>
    <w:rsid w:val="000B3AA3"/>
    <w:rsid w:val="000B6C72"/>
    <w:rsid w:val="000C16F9"/>
    <w:rsid w:val="000C1DBE"/>
    <w:rsid w:val="000D0489"/>
    <w:rsid w:val="000F7254"/>
    <w:rsid w:val="00103651"/>
    <w:rsid w:val="001123AE"/>
    <w:rsid w:val="00114AC3"/>
    <w:rsid w:val="00115E29"/>
    <w:rsid w:val="0013144F"/>
    <w:rsid w:val="001325DD"/>
    <w:rsid w:val="00141571"/>
    <w:rsid w:val="00143A2F"/>
    <w:rsid w:val="0015302C"/>
    <w:rsid w:val="0015436E"/>
    <w:rsid w:val="0017369E"/>
    <w:rsid w:val="00174684"/>
    <w:rsid w:val="00184129"/>
    <w:rsid w:val="00193FFB"/>
    <w:rsid w:val="00196317"/>
    <w:rsid w:val="001A4F40"/>
    <w:rsid w:val="001B1938"/>
    <w:rsid w:val="001C583F"/>
    <w:rsid w:val="001D16A8"/>
    <w:rsid w:val="001F546D"/>
    <w:rsid w:val="001F5792"/>
    <w:rsid w:val="001F6F54"/>
    <w:rsid w:val="001F769D"/>
    <w:rsid w:val="0020372A"/>
    <w:rsid w:val="002238FD"/>
    <w:rsid w:val="0022741A"/>
    <w:rsid w:val="00227B26"/>
    <w:rsid w:val="00254E1A"/>
    <w:rsid w:val="0025705A"/>
    <w:rsid w:val="00270E7E"/>
    <w:rsid w:val="00286ECC"/>
    <w:rsid w:val="00295C9B"/>
    <w:rsid w:val="002A6C80"/>
    <w:rsid w:val="003002BE"/>
    <w:rsid w:val="003205BF"/>
    <w:rsid w:val="00326B17"/>
    <w:rsid w:val="00326C2C"/>
    <w:rsid w:val="003321C0"/>
    <w:rsid w:val="00347A20"/>
    <w:rsid w:val="00354313"/>
    <w:rsid w:val="00364D77"/>
    <w:rsid w:val="00380DF6"/>
    <w:rsid w:val="003908D8"/>
    <w:rsid w:val="00393A3C"/>
    <w:rsid w:val="003A582A"/>
    <w:rsid w:val="003B74B8"/>
    <w:rsid w:val="003B74C6"/>
    <w:rsid w:val="003D09D6"/>
    <w:rsid w:val="003D1B14"/>
    <w:rsid w:val="003F60AC"/>
    <w:rsid w:val="004103A6"/>
    <w:rsid w:val="004143E3"/>
    <w:rsid w:val="00422A1E"/>
    <w:rsid w:val="0043421E"/>
    <w:rsid w:val="00460446"/>
    <w:rsid w:val="00462377"/>
    <w:rsid w:val="004B0ED6"/>
    <w:rsid w:val="004B7FED"/>
    <w:rsid w:val="004D39F2"/>
    <w:rsid w:val="004D51FB"/>
    <w:rsid w:val="004D5AC6"/>
    <w:rsid w:val="004F126F"/>
    <w:rsid w:val="004F2CBF"/>
    <w:rsid w:val="004F54A9"/>
    <w:rsid w:val="004F6400"/>
    <w:rsid w:val="00532114"/>
    <w:rsid w:val="00574CF4"/>
    <w:rsid w:val="00584FEE"/>
    <w:rsid w:val="0058618E"/>
    <w:rsid w:val="005A3382"/>
    <w:rsid w:val="005A7542"/>
    <w:rsid w:val="005B6087"/>
    <w:rsid w:val="005D0A33"/>
    <w:rsid w:val="005E7EA6"/>
    <w:rsid w:val="005F4FB9"/>
    <w:rsid w:val="00611C29"/>
    <w:rsid w:val="0061419A"/>
    <w:rsid w:val="0061540B"/>
    <w:rsid w:val="00630A97"/>
    <w:rsid w:val="00631786"/>
    <w:rsid w:val="0063336C"/>
    <w:rsid w:val="006677DF"/>
    <w:rsid w:val="0067096D"/>
    <w:rsid w:val="00671FBD"/>
    <w:rsid w:val="00672D79"/>
    <w:rsid w:val="00675255"/>
    <w:rsid w:val="00691664"/>
    <w:rsid w:val="00696638"/>
    <w:rsid w:val="006972B3"/>
    <w:rsid w:val="006A16BB"/>
    <w:rsid w:val="006B2B78"/>
    <w:rsid w:val="006B3A12"/>
    <w:rsid w:val="006B66A3"/>
    <w:rsid w:val="006C2F74"/>
    <w:rsid w:val="006F52F6"/>
    <w:rsid w:val="0070171B"/>
    <w:rsid w:val="00705BEE"/>
    <w:rsid w:val="00710EE2"/>
    <w:rsid w:val="007213D2"/>
    <w:rsid w:val="007246AD"/>
    <w:rsid w:val="0073104E"/>
    <w:rsid w:val="00753C16"/>
    <w:rsid w:val="00755035"/>
    <w:rsid w:val="007769DA"/>
    <w:rsid w:val="007772D1"/>
    <w:rsid w:val="00783109"/>
    <w:rsid w:val="00783B7B"/>
    <w:rsid w:val="00794092"/>
    <w:rsid w:val="007A0829"/>
    <w:rsid w:val="007B2ED1"/>
    <w:rsid w:val="007C38BE"/>
    <w:rsid w:val="007D1C85"/>
    <w:rsid w:val="007F1955"/>
    <w:rsid w:val="00807509"/>
    <w:rsid w:val="0080769F"/>
    <w:rsid w:val="008138C8"/>
    <w:rsid w:val="0082043C"/>
    <w:rsid w:val="00821D2C"/>
    <w:rsid w:val="00835043"/>
    <w:rsid w:val="0085103F"/>
    <w:rsid w:val="00855927"/>
    <w:rsid w:val="00870497"/>
    <w:rsid w:val="00876F7A"/>
    <w:rsid w:val="00883513"/>
    <w:rsid w:val="0089159A"/>
    <w:rsid w:val="00893779"/>
    <w:rsid w:val="00896883"/>
    <w:rsid w:val="008A0042"/>
    <w:rsid w:val="008A28B4"/>
    <w:rsid w:val="008B4036"/>
    <w:rsid w:val="008D5795"/>
    <w:rsid w:val="008E08CB"/>
    <w:rsid w:val="008E526A"/>
    <w:rsid w:val="009020B4"/>
    <w:rsid w:val="00905771"/>
    <w:rsid w:val="0091417D"/>
    <w:rsid w:val="00944762"/>
    <w:rsid w:val="00970788"/>
    <w:rsid w:val="0097261A"/>
    <w:rsid w:val="00975D4C"/>
    <w:rsid w:val="00991E89"/>
    <w:rsid w:val="00995650"/>
    <w:rsid w:val="009B4657"/>
    <w:rsid w:val="009C0456"/>
    <w:rsid w:val="009C18F0"/>
    <w:rsid w:val="009D17B9"/>
    <w:rsid w:val="009D219C"/>
    <w:rsid w:val="009D4AC6"/>
    <w:rsid w:val="009D7D67"/>
    <w:rsid w:val="00A03ADD"/>
    <w:rsid w:val="00A2083C"/>
    <w:rsid w:val="00A208F7"/>
    <w:rsid w:val="00A34A28"/>
    <w:rsid w:val="00A36DB8"/>
    <w:rsid w:val="00A46135"/>
    <w:rsid w:val="00A61C61"/>
    <w:rsid w:val="00A61EAD"/>
    <w:rsid w:val="00A640AA"/>
    <w:rsid w:val="00A80789"/>
    <w:rsid w:val="00A9204D"/>
    <w:rsid w:val="00AC671F"/>
    <w:rsid w:val="00AD1AC1"/>
    <w:rsid w:val="00AD7268"/>
    <w:rsid w:val="00AE0ECE"/>
    <w:rsid w:val="00B04327"/>
    <w:rsid w:val="00B21250"/>
    <w:rsid w:val="00B21675"/>
    <w:rsid w:val="00B276DE"/>
    <w:rsid w:val="00B50FA4"/>
    <w:rsid w:val="00B60089"/>
    <w:rsid w:val="00B801BF"/>
    <w:rsid w:val="00B8287A"/>
    <w:rsid w:val="00B83EF3"/>
    <w:rsid w:val="00B86272"/>
    <w:rsid w:val="00B90968"/>
    <w:rsid w:val="00BA53A2"/>
    <w:rsid w:val="00BC51CB"/>
    <w:rsid w:val="00BE3C37"/>
    <w:rsid w:val="00BF1186"/>
    <w:rsid w:val="00BF295F"/>
    <w:rsid w:val="00BF7214"/>
    <w:rsid w:val="00C006F4"/>
    <w:rsid w:val="00C03257"/>
    <w:rsid w:val="00C050AE"/>
    <w:rsid w:val="00C157EA"/>
    <w:rsid w:val="00C26B98"/>
    <w:rsid w:val="00C43CFE"/>
    <w:rsid w:val="00C520D9"/>
    <w:rsid w:val="00C60A83"/>
    <w:rsid w:val="00C61EC8"/>
    <w:rsid w:val="00C962D3"/>
    <w:rsid w:val="00CA338E"/>
    <w:rsid w:val="00CB540E"/>
    <w:rsid w:val="00CC67AE"/>
    <w:rsid w:val="00CF66C9"/>
    <w:rsid w:val="00D1247E"/>
    <w:rsid w:val="00D23C64"/>
    <w:rsid w:val="00D33104"/>
    <w:rsid w:val="00D54E64"/>
    <w:rsid w:val="00D55714"/>
    <w:rsid w:val="00D65122"/>
    <w:rsid w:val="00D6769E"/>
    <w:rsid w:val="00D7676C"/>
    <w:rsid w:val="00D93035"/>
    <w:rsid w:val="00DB6CD1"/>
    <w:rsid w:val="00DC4B21"/>
    <w:rsid w:val="00DC5F4E"/>
    <w:rsid w:val="00DD4B99"/>
    <w:rsid w:val="00DE2818"/>
    <w:rsid w:val="00E019B3"/>
    <w:rsid w:val="00E042F8"/>
    <w:rsid w:val="00E1744F"/>
    <w:rsid w:val="00E307F0"/>
    <w:rsid w:val="00E3353B"/>
    <w:rsid w:val="00E46C6A"/>
    <w:rsid w:val="00E46ECE"/>
    <w:rsid w:val="00E51DCC"/>
    <w:rsid w:val="00E54C19"/>
    <w:rsid w:val="00E61931"/>
    <w:rsid w:val="00E764F3"/>
    <w:rsid w:val="00E8711E"/>
    <w:rsid w:val="00E918B5"/>
    <w:rsid w:val="00E936BA"/>
    <w:rsid w:val="00EA2E90"/>
    <w:rsid w:val="00EB6DE2"/>
    <w:rsid w:val="00EB78D8"/>
    <w:rsid w:val="00EC1A6D"/>
    <w:rsid w:val="00EC3CE2"/>
    <w:rsid w:val="00EC3D6D"/>
    <w:rsid w:val="00F157E1"/>
    <w:rsid w:val="00F16A12"/>
    <w:rsid w:val="00F22C73"/>
    <w:rsid w:val="00F36870"/>
    <w:rsid w:val="00F40968"/>
    <w:rsid w:val="00F542AE"/>
    <w:rsid w:val="00F74240"/>
    <w:rsid w:val="00F8066A"/>
    <w:rsid w:val="00F87707"/>
    <w:rsid w:val="00F91C51"/>
    <w:rsid w:val="00F971A0"/>
    <w:rsid w:val="00F97D29"/>
    <w:rsid w:val="00FA200D"/>
    <w:rsid w:val="00FA3478"/>
    <w:rsid w:val="00FD0819"/>
    <w:rsid w:val="00FE6851"/>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E54C1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C1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 w:type="character" w:styleId="CommentReference">
    <w:name w:val="annotation reference"/>
    <w:basedOn w:val="DefaultParagraphFont"/>
    <w:uiPriority w:val="99"/>
    <w:semiHidden/>
    <w:unhideWhenUsed/>
    <w:rsid w:val="00F91C51"/>
    <w:rPr>
      <w:sz w:val="16"/>
      <w:szCs w:val="16"/>
    </w:rPr>
  </w:style>
  <w:style w:type="paragraph" w:styleId="CommentText">
    <w:name w:val="annotation text"/>
    <w:basedOn w:val="Normal"/>
    <w:link w:val="CommentTextChar"/>
    <w:uiPriority w:val="99"/>
    <w:unhideWhenUsed/>
    <w:rsid w:val="00F91C51"/>
    <w:pPr>
      <w:spacing w:line="240" w:lineRule="auto"/>
    </w:pPr>
    <w:rPr>
      <w:szCs w:val="20"/>
    </w:rPr>
  </w:style>
  <w:style w:type="character" w:customStyle="1" w:styleId="CommentTextChar">
    <w:name w:val="Comment Text Char"/>
    <w:basedOn w:val="DefaultParagraphFont"/>
    <w:link w:val="CommentText"/>
    <w:uiPriority w:val="99"/>
    <w:rsid w:val="00F91C5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91C51"/>
    <w:rPr>
      <w:b/>
      <w:bCs/>
    </w:rPr>
  </w:style>
  <w:style w:type="character" w:customStyle="1" w:styleId="CommentSubjectChar">
    <w:name w:val="Comment Subject Char"/>
    <w:basedOn w:val="CommentTextChar"/>
    <w:link w:val="CommentSubject"/>
    <w:uiPriority w:val="99"/>
    <w:semiHidden/>
    <w:rsid w:val="00F91C51"/>
    <w:rPr>
      <w:rFonts w:ascii="Arial" w:hAnsi="Arial"/>
      <w:b/>
      <w:bCs/>
      <w:sz w:val="20"/>
      <w:szCs w:val="20"/>
    </w:rPr>
  </w:style>
  <w:style w:type="paragraph" w:styleId="FootnoteText">
    <w:name w:val="footnote text"/>
    <w:basedOn w:val="Normal"/>
    <w:link w:val="FootnoteTextChar"/>
    <w:uiPriority w:val="99"/>
    <w:semiHidden/>
    <w:unhideWhenUsed/>
    <w:rsid w:val="0097261A"/>
    <w:pPr>
      <w:spacing w:after="0" w:line="240" w:lineRule="auto"/>
    </w:pPr>
    <w:rPr>
      <w:szCs w:val="20"/>
    </w:rPr>
  </w:style>
  <w:style w:type="character" w:customStyle="1" w:styleId="FootnoteTextChar">
    <w:name w:val="Footnote Text Char"/>
    <w:basedOn w:val="DefaultParagraphFont"/>
    <w:link w:val="FootnoteText"/>
    <w:uiPriority w:val="99"/>
    <w:semiHidden/>
    <w:rsid w:val="0097261A"/>
    <w:rPr>
      <w:rFonts w:ascii="Arial" w:hAnsi="Arial"/>
      <w:sz w:val="20"/>
      <w:szCs w:val="20"/>
    </w:rPr>
  </w:style>
  <w:style w:type="character" w:styleId="FootnoteReference">
    <w:name w:val="footnote reference"/>
    <w:basedOn w:val="DefaultParagraphFont"/>
    <w:uiPriority w:val="99"/>
    <w:semiHidden/>
    <w:unhideWhenUsed/>
    <w:rsid w:val="0097261A"/>
    <w:rPr>
      <w:vertAlign w:val="superscript"/>
    </w:rPr>
  </w:style>
  <w:style w:type="character" w:styleId="FollowedHyperlink">
    <w:name w:val="FollowedHyperlink"/>
    <w:basedOn w:val="DefaultParagraphFont"/>
    <w:uiPriority w:val="99"/>
    <w:semiHidden/>
    <w:unhideWhenUsed/>
    <w:rsid w:val="0097261A"/>
    <w:rPr>
      <w:color w:val="954F72" w:themeColor="followedHyperlink"/>
      <w:u w:val="single"/>
    </w:rPr>
  </w:style>
  <w:style w:type="paragraph" w:styleId="EndnoteText">
    <w:name w:val="endnote text"/>
    <w:basedOn w:val="Normal"/>
    <w:link w:val="EndnoteTextChar"/>
    <w:uiPriority w:val="99"/>
    <w:semiHidden/>
    <w:unhideWhenUsed/>
    <w:rsid w:val="00A61EAD"/>
    <w:pPr>
      <w:spacing w:after="0" w:line="240" w:lineRule="auto"/>
    </w:pPr>
    <w:rPr>
      <w:szCs w:val="20"/>
    </w:rPr>
  </w:style>
  <w:style w:type="character" w:customStyle="1" w:styleId="EndnoteTextChar">
    <w:name w:val="Endnote Text Char"/>
    <w:basedOn w:val="DefaultParagraphFont"/>
    <w:link w:val="EndnoteText"/>
    <w:uiPriority w:val="99"/>
    <w:semiHidden/>
    <w:rsid w:val="00A61EAD"/>
    <w:rPr>
      <w:rFonts w:ascii="Arial" w:hAnsi="Arial"/>
      <w:sz w:val="20"/>
      <w:szCs w:val="20"/>
    </w:rPr>
  </w:style>
  <w:style w:type="character" w:styleId="EndnoteReference">
    <w:name w:val="endnote reference"/>
    <w:basedOn w:val="DefaultParagraphFont"/>
    <w:uiPriority w:val="99"/>
    <w:semiHidden/>
    <w:unhideWhenUsed/>
    <w:rsid w:val="00A61E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dcusa.co.uk/change/appropriate-treatment-and-allocation-of-eligible-use-of-system-bad-debt-costs/" TargetMode="Externa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mailto:dcusa@electralink.co.uk" TargetMode="External"/><Relationship Id="rId25" Type="http://schemas.openxmlformats.org/officeDocument/2006/relationships/header" Target="header1.xm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s://www.dcusa.co.uk/change/appropriate-treatment-and-allocation-of-last-resort-supply-payment-claim-cost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yperlink" Target="https://dcusa-cdn-1.s3.eu-west-2.amazonaws.com/wp-content/uploads/2019/10/20103326/DCP332-and-DCP333-Decision-Letter.pdf"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s://smartenergycodecompany.co.uk/publication-of-dp218-review-of-the-sec-charging-methodology-dcc-rfi-responses/"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smartdcc.co.uk/media/ducjgd4e/indicative-charging-statement-ry2627-issue-40.pdf"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microsoft.com/office/2018/08/relationships/commentsExtensible" Target="commentsExtensible.xml"/><Relationship Id="rId22" Type="http://schemas.openxmlformats.org/officeDocument/2006/relationships/hyperlink" Target="http://www.dcusa.co.uk" TargetMode="External"/><Relationship Id="rId27" Type="http://schemas.openxmlformats.org/officeDocument/2006/relationships/header" Target="header2.xml"/><Relationship Id="rId30" Type="http://schemas.openxmlformats.org/officeDocument/2006/relationships/theme" Target="theme/theme1.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statistics/smart-meters-in-great-britain-quarterly-update-march-2026" TargetMode="External"/><Relationship Id="rId1" Type="http://schemas.openxmlformats.org/officeDocument/2006/relationships/hyperlink" Target="https://assets.publishing.service.gov.uk/media/69b032a41daa1b70ca233121/smart-metering-policy-framework-post-2025-government-respons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2.xml><?xml version="1.0" encoding="utf-8"?>
<ds:datastoreItem xmlns:ds="http://schemas.openxmlformats.org/officeDocument/2006/customXml" ds:itemID="{6CE8D672-ED61-415C-8915-F896FCB22516}"/>
</file>

<file path=customXml/itemProps3.xml><?xml version="1.0" encoding="utf-8"?>
<ds:datastoreItem xmlns:ds="http://schemas.openxmlformats.org/officeDocument/2006/customXml" ds:itemID="{27DC484C-F2F2-4E69-9BB0-C40A170809E0}"/>
</file>

<file path=customXml/itemProps4.xml><?xml version="1.0" encoding="utf-8"?>
<ds:datastoreItem xmlns:ds="http://schemas.openxmlformats.org/officeDocument/2006/customXml" ds:itemID="{AAE5714F-7E4F-427F-8C5D-6E82F8A42F21}"/>
</file>

<file path=docProps/app.xml><?xml version="1.0" encoding="utf-8"?>
<Properties xmlns="http://schemas.openxmlformats.org/officeDocument/2006/extended-properties" xmlns:vt="http://schemas.openxmlformats.org/officeDocument/2006/docPropsVTypes">
  <Template>Normal</Template>
  <TotalTime>0</TotalTime>
  <Pages>8</Pages>
  <Words>2393</Words>
  <Characters>13641</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Hollie Wild</cp:lastModifiedBy>
  <cp:revision>2</cp:revision>
  <dcterms:created xsi:type="dcterms:W3CDTF">2026-06-22T10:38:00Z</dcterms:created>
  <dcterms:modified xsi:type="dcterms:W3CDTF">2026-06-22T10:38:00Z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